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E149A2" w14:textId="77777777" w:rsidR="002878D1" w:rsidRDefault="002878D1" w:rsidP="002878D1">
      <w:pPr>
        <w:spacing w:before="1500"/>
        <w:jc w:val="center"/>
        <w:rPr>
          <w:b/>
          <w:color w:val="1F4E79"/>
          <w:sz w:val="44"/>
        </w:rPr>
      </w:pPr>
      <w:r>
        <w:rPr>
          <w:b/>
          <w:noProof/>
          <w:color w:val="1F4E79"/>
          <w:sz w:val="44"/>
          <w:lang w:val="en-GB" w:eastAsia="en-GB"/>
        </w:rPr>
        <w:drawing>
          <wp:inline distT="0" distB="0" distL="0" distR="0" wp14:anchorId="4BDB760A" wp14:editId="3D4C2EC8">
            <wp:extent cx="2872200" cy="2487309"/>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1">
                      <a:extLst>
                        <a:ext uri="{28A0092B-C50C-407E-A947-70E740481C1C}">
                          <a14:useLocalDpi xmlns:a14="http://schemas.microsoft.com/office/drawing/2010/main" val="0"/>
                        </a:ext>
                      </a:extLst>
                    </a:blip>
                    <a:stretch>
                      <a:fillRect/>
                    </a:stretch>
                  </pic:blipFill>
                  <pic:spPr>
                    <a:xfrm>
                      <a:off x="0" y="0"/>
                      <a:ext cx="2877456" cy="2491860"/>
                    </a:xfrm>
                    <a:prstGeom prst="rect">
                      <a:avLst/>
                    </a:prstGeom>
                  </pic:spPr>
                </pic:pic>
              </a:graphicData>
            </a:graphic>
          </wp:inline>
        </w:drawing>
      </w:r>
    </w:p>
    <w:p w14:paraId="5FD2C17D" w14:textId="77777777" w:rsidR="00F860C0" w:rsidRPr="0033669F" w:rsidRDefault="0033669F" w:rsidP="002878D1">
      <w:pPr>
        <w:spacing w:before="1500"/>
        <w:jc w:val="center"/>
        <w:rPr>
          <w:rFonts w:asciiTheme="majorHAnsi" w:hAnsiTheme="majorHAnsi" w:cstheme="majorHAnsi"/>
          <w:b/>
          <w:color w:val="1F4E79"/>
          <w:sz w:val="44"/>
        </w:rPr>
      </w:pPr>
      <w:r w:rsidRPr="0033669F">
        <w:rPr>
          <w:rFonts w:asciiTheme="majorHAnsi" w:hAnsiTheme="majorHAnsi" w:cstheme="majorHAnsi"/>
          <w:b/>
          <w:color w:val="1F4E79"/>
          <w:sz w:val="44"/>
        </w:rPr>
        <w:t>YSGOL GYFUN LLANGEFNI</w:t>
      </w:r>
    </w:p>
    <w:p w14:paraId="3355B925" w14:textId="77777777" w:rsidR="00F860C0" w:rsidRPr="0033669F" w:rsidRDefault="0033669F">
      <w:pPr>
        <w:jc w:val="center"/>
        <w:rPr>
          <w:rFonts w:asciiTheme="majorHAnsi" w:hAnsiTheme="majorHAnsi" w:cstheme="majorHAnsi"/>
        </w:rPr>
      </w:pPr>
      <w:r w:rsidRPr="0033669F">
        <w:rPr>
          <w:rFonts w:asciiTheme="majorHAnsi" w:hAnsiTheme="majorHAnsi" w:cstheme="majorHAnsi"/>
          <w:b/>
          <w:sz w:val="54"/>
        </w:rPr>
        <w:t>STRATEGIC EQUALITY PLAN</w:t>
      </w:r>
    </w:p>
    <w:p w14:paraId="7AAC8705" w14:textId="77777777" w:rsidR="00F860C0" w:rsidRPr="0033669F" w:rsidRDefault="0033669F">
      <w:pPr>
        <w:jc w:val="center"/>
        <w:rPr>
          <w:rFonts w:asciiTheme="majorHAnsi" w:hAnsiTheme="majorHAnsi" w:cstheme="majorHAnsi"/>
        </w:rPr>
      </w:pPr>
      <w:r w:rsidRPr="0033669F">
        <w:rPr>
          <w:rFonts w:asciiTheme="majorHAnsi" w:hAnsiTheme="majorHAnsi" w:cstheme="majorHAnsi"/>
          <w:b/>
          <w:color w:val="595959"/>
          <w:sz w:val="44"/>
        </w:rPr>
        <w:t>STRATEGIC EQUALITY PLAN</w:t>
      </w:r>
    </w:p>
    <w:p w14:paraId="47C4CF11" w14:textId="77777777" w:rsidR="00F860C0" w:rsidRPr="0033669F" w:rsidRDefault="0033669F">
      <w:pPr>
        <w:spacing w:before="360"/>
        <w:jc w:val="center"/>
        <w:rPr>
          <w:rFonts w:asciiTheme="majorHAnsi" w:hAnsiTheme="majorHAnsi" w:cstheme="majorHAnsi"/>
        </w:rPr>
      </w:pPr>
      <w:r w:rsidRPr="0033669F">
        <w:rPr>
          <w:rFonts w:asciiTheme="majorHAnsi" w:hAnsiTheme="majorHAnsi" w:cstheme="majorHAnsi"/>
          <w:b/>
          <w:sz w:val="36"/>
        </w:rPr>
        <w:t>2026-2030</w:t>
      </w:r>
    </w:p>
    <w:tbl>
      <w:tblPr>
        <w:tblW w:w="0" w:type="auto"/>
        <w:tblLook w:val="04A0" w:firstRow="1" w:lastRow="0" w:firstColumn="1" w:lastColumn="0" w:noHBand="0" w:noVBand="1"/>
      </w:tblPr>
      <w:tblGrid>
        <w:gridCol w:w="10080"/>
      </w:tblGrid>
      <w:tr w:rsidR="00F860C0" w:rsidRPr="0033669F" w14:paraId="4DD2DAC4" w14:textId="77777777">
        <w:tc>
          <w:tcPr>
            <w:tcW w:w="10080" w:type="dxa"/>
            <w:shd w:val="clear" w:color="auto" w:fill="EAF2F8"/>
            <w:tcMar>
              <w:top w:w="120" w:type="dxa"/>
              <w:left w:w="150" w:type="dxa"/>
              <w:bottom w:w="120" w:type="dxa"/>
              <w:right w:w="150" w:type="dxa"/>
            </w:tcMar>
          </w:tcPr>
          <w:p w14:paraId="64488994" w14:textId="77777777" w:rsidR="00F860C0" w:rsidRPr="0033669F" w:rsidRDefault="0033669F">
            <w:pPr>
              <w:rPr>
                <w:rFonts w:asciiTheme="majorHAnsi" w:hAnsiTheme="majorHAnsi" w:cstheme="majorHAnsi"/>
              </w:rPr>
            </w:pPr>
            <w:r w:rsidRPr="0033669F">
              <w:rPr>
                <w:rFonts w:asciiTheme="majorHAnsi" w:hAnsiTheme="majorHAnsi" w:cstheme="majorHAnsi"/>
                <w:b/>
                <w:color w:val="1F4E79"/>
                <w:sz w:val="20"/>
              </w:rPr>
              <w:t>Draft for adoption by the Governing Body</w:t>
            </w:r>
          </w:p>
        </w:tc>
      </w:tr>
    </w:tbl>
    <w:p w14:paraId="2D1F6F8A" w14:textId="77777777" w:rsidR="00F860C0" w:rsidRPr="0033669F" w:rsidRDefault="00F860C0">
      <w:pPr>
        <w:spacing w:after="0"/>
        <w:rPr>
          <w:rFonts w:asciiTheme="majorHAnsi" w:hAnsiTheme="majorHAnsi" w:cstheme="majorHAnsi"/>
        </w:rPr>
      </w:pPr>
    </w:p>
    <w:tbl>
      <w:tblPr>
        <w:tblStyle w:val="TableGrid"/>
        <w:tblW w:w="0" w:type="auto"/>
        <w:jc w:val="center"/>
        <w:tblLayout w:type="fixed"/>
        <w:tblLook w:val="04A0" w:firstRow="1" w:lastRow="0" w:firstColumn="1" w:lastColumn="0" w:noHBand="0" w:noVBand="1"/>
      </w:tblPr>
      <w:tblGrid>
        <w:gridCol w:w="6480"/>
        <w:gridCol w:w="3168"/>
      </w:tblGrid>
      <w:tr w:rsidR="00F860C0" w:rsidRPr="0033669F" w14:paraId="475EB6FB" w14:textId="77777777">
        <w:trPr>
          <w:jc w:val="center"/>
        </w:trPr>
        <w:tc>
          <w:tcPr>
            <w:tcW w:w="6480" w:type="dxa"/>
            <w:tcMar>
              <w:top w:w="90" w:type="dxa"/>
              <w:left w:w="110" w:type="dxa"/>
              <w:bottom w:w="90" w:type="dxa"/>
              <w:right w:w="110" w:type="dxa"/>
            </w:tcMar>
            <w:vAlign w:val="center"/>
          </w:tcPr>
          <w:p w14:paraId="2A06CEE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Date adopted</w:t>
            </w:r>
          </w:p>
        </w:tc>
        <w:tc>
          <w:tcPr>
            <w:tcW w:w="3168" w:type="dxa"/>
            <w:tcMar>
              <w:top w:w="90" w:type="dxa"/>
              <w:left w:w="110" w:type="dxa"/>
              <w:bottom w:w="90" w:type="dxa"/>
              <w:right w:w="110" w:type="dxa"/>
            </w:tcMar>
            <w:vAlign w:val="center"/>
          </w:tcPr>
          <w:p w14:paraId="623C88F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________________</w:t>
            </w:r>
          </w:p>
        </w:tc>
      </w:tr>
      <w:tr w:rsidR="00F860C0" w:rsidRPr="0033669F" w14:paraId="54717596" w14:textId="77777777">
        <w:trPr>
          <w:jc w:val="center"/>
        </w:trPr>
        <w:tc>
          <w:tcPr>
            <w:tcW w:w="6480" w:type="dxa"/>
            <w:tcMar>
              <w:top w:w="90" w:type="dxa"/>
              <w:left w:w="110" w:type="dxa"/>
              <w:bottom w:w="90" w:type="dxa"/>
              <w:right w:w="110" w:type="dxa"/>
            </w:tcMar>
            <w:vAlign w:val="center"/>
          </w:tcPr>
          <w:p w14:paraId="179E99D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Chair of Governors</w:t>
            </w:r>
            <w:r w:rsidRPr="0033669F">
              <w:rPr>
                <w:rFonts w:asciiTheme="majorHAnsi" w:hAnsiTheme="majorHAnsi" w:cstheme="majorHAnsi"/>
                <w:sz w:val="19"/>
              </w:rPr>
            </w:r>
          </w:p>
        </w:tc>
        <w:tc>
          <w:tcPr>
            <w:tcW w:w="3168" w:type="dxa"/>
            <w:tcMar>
              <w:top w:w="90" w:type="dxa"/>
              <w:left w:w="110" w:type="dxa"/>
              <w:bottom w:w="90" w:type="dxa"/>
              <w:right w:w="110" w:type="dxa"/>
            </w:tcMar>
            <w:vAlign w:val="center"/>
          </w:tcPr>
          <w:p w14:paraId="3A7FD09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________________</w:t>
            </w:r>
          </w:p>
        </w:tc>
      </w:tr>
      <w:tr w:rsidR="00F860C0" w:rsidRPr="0033669F" w14:paraId="1A410D93" w14:textId="77777777">
        <w:trPr>
          <w:jc w:val="center"/>
        </w:trPr>
        <w:tc>
          <w:tcPr>
            <w:tcW w:w="6480" w:type="dxa"/>
            <w:tcMar>
              <w:top w:w="90" w:type="dxa"/>
              <w:left w:w="110" w:type="dxa"/>
              <w:bottom w:w="90" w:type="dxa"/>
              <w:right w:w="110" w:type="dxa"/>
            </w:tcMar>
            <w:vAlign w:val="center"/>
          </w:tcPr>
          <w:p w14:paraId="1FB8E1B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Headteacher</w:t>
            </w:r>
          </w:p>
        </w:tc>
        <w:tc>
          <w:tcPr>
            <w:tcW w:w="3168" w:type="dxa"/>
            <w:tcMar>
              <w:top w:w="90" w:type="dxa"/>
              <w:left w:w="110" w:type="dxa"/>
              <w:bottom w:w="90" w:type="dxa"/>
              <w:right w:w="110" w:type="dxa"/>
            </w:tcMar>
            <w:vAlign w:val="center"/>
          </w:tcPr>
          <w:p w14:paraId="12B73A3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________________</w:t>
            </w:r>
          </w:p>
        </w:tc>
      </w:tr>
      <w:tr w:rsidR="00F860C0" w:rsidRPr="0033669F" w14:paraId="36D30042" w14:textId="77777777">
        <w:trPr>
          <w:jc w:val="center"/>
        </w:trPr>
        <w:tc>
          <w:tcPr>
            <w:tcW w:w="6480" w:type="dxa"/>
            <w:tcMar>
              <w:top w:w="90" w:type="dxa"/>
              <w:left w:w="110" w:type="dxa"/>
              <w:bottom w:w="90" w:type="dxa"/>
              <w:right w:w="110" w:type="dxa"/>
            </w:tcMar>
            <w:vAlign w:val="center"/>
          </w:tcPr>
          <w:p w14:paraId="4CB27FB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Full review date</w:t>
            </w:r>
          </w:p>
        </w:tc>
        <w:tc>
          <w:tcPr>
            <w:tcW w:w="3168" w:type="dxa"/>
            <w:tcMar>
              <w:top w:w="90" w:type="dxa"/>
              <w:left w:w="110" w:type="dxa"/>
              <w:bottom w:w="90" w:type="dxa"/>
              <w:right w:w="110" w:type="dxa"/>
            </w:tcMar>
            <w:vAlign w:val="center"/>
          </w:tcPr>
          <w:p w14:paraId="76DA7BF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No later than 2030</w:t>
            </w:r>
          </w:p>
        </w:tc>
      </w:tr>
    </w:tbl>
    <w:p w14:paraId="57BDC71B" w14:textId="77777777" w:rsidR="00F860C0" w:rsidRPr="0033669F" w:rsidRDefault="00F860C0">
      <w:pPr>
        <w:rPr>
          <w:rFonts w:asciiTheme="majorHAnsi" w:hAnsiTheme="majorHAnsi" w:cstheme="majorHAnsi"/>
        </w:rPr>
      </w:pPr>
    </w:p>
    <w:p w14:paraId="268C3C90" w14:textId="77777777" w:rsidR="00F860C0" w:rsidRPr="0033669F" w:rsidRDefault="0033669F">
      <w:pPr>
        <w:pStyle w:val="Heading1"/>
        <w:rPr>
          <w:rFonts w:cstheme="majorHAnsi"/>
        </w:rPr>
      </w:pPr>
      <w:r w:rsidRPr="0033669F">
        <w:rPr>
          <w:rFonts w:cstheme="majorHAnsi"/>
        </w:rPr>
        <w:t>1. Our Character, Priorities and Main Objectives</w:t>
      </w:r>
    </w:p>
    <w:p w14:paraId="6CFC2D69" w14:textId="77777777" w:rsidR="00F860C0" w:rsidRPr="0033669F" w:rsidRDefault="0033669F">
      <w:pPr>
        <w:pStyle w:val="Heading2"/>
        <w:rPr>
          <w:rFonts w:cstheme="majorHAnsi"/>
        </w:rPr>
      </w:pPr>
      <w:r w:rsidRPr="0033669F">
        <w:rPr>
          <w:rFonts w:cstheme="majorHAnsi"/>
        </w:rPr>
        <w:t>1.1 School values</w:t>
      </w:r>
    </w:p>
    <w:p w14:paraId="216711D4" w14:textId="77777777" w:rsidR="00F860C0" w:rsidRPr="0033669F" w:rsidRDefault="0033669F">
      <w:pPr>
        <w:rPr>
          <w:rFonts w:asciiTheme="majorHAnsi" w:hAnsiTheme="majorHAnsi" w:cstheme="majorHAnsi"/>
        </w:rPr>
      </w:pPr>
      <w:r w:rsidRPr="0033669F">
        <w:rPr>
          <w:rFonts w:asciiTheme="majorHAnsi" w:hAnsiTheme="majorHAnsi" w:cstheme="majorHAnsi"/>
        </w:rPr>
        <w:t>Ysgol Gyfun Llangefni’s vision is: “To provide a first-class education for every pupil so that they succeed in becoming capable, ambitious and resilient individuals who fulfil their full potential in every aspect of their lives.”</w:t>
      </w:r>
    </w:p>
    <w:p w14:paraId="0A23AF16" w14:textId="77777777" w:rsidR="00F860C0" w:rsidRPr="0033669F" w:rsidRDefault="0033669F">
      <w:pPr>
        <w:rPr>
          <w:rFonts w:asciiTheme="majorHAnsi" w:hAnsiTheme="majorHAnsi" w:cstheme="majorHAnsi"/>
        </w:rPr>
      </w:pPr>
      <w:r w:rsidRPr="0033669F">
        <w:rPr>
          <w:rFonts w:asciiTheme="majorHAnsi" w:hAnsiTheme="majorHAnsi" w:cstheme="majorHAnsi"/>
        </w:rPr>
        <w:t>We are committed to equality of education and opportunity for pupils, staff, parents, carers and others who use the school’s services. Our aim is to foster an inclusive culture where difference is respected, where every individual feels safe and has a sense of belonging, and where everyone can contribute fully to school life. We will challenge discrimination, harassment, bullying and stereotyping and promote respect, fairness and positive relationships.</w:t>
      </w:r>
      <w:r w:rsidRPr="0033669F">
        <w:rPr>
          <w:rFonts w:asciiTheme="majorHAnsi" w:hAnsiTheme="majorHAnsi" w:cstheme="majorHAnsi"/>
        </w:rPr>
      </w:r>
      <w:r w:rsidRPr="0033669F">
        <w:rPr>
          <w:rFonts w:asciiTheme="majorHAnsi" w:hAnsiTheme="majorHAnsi" w:cstheme="majorHAnsi"/>
        </w:rPr>
      </w:r>
    </w:p>
    <w:p w14:paraId="160093E5" w14:textId="77777777" w:rsidR="00F860C0" w:rsidRPr="0033669F" w:rsidRDefault="0033669F">
      <w:pPr>
        <w:pStyle w:val="Heading2"/>
        <w:rPr>
          <w:rFonts w:cstheme="majorHAnsi"/>
        </w:rPr>
      </w:pPr>
      <w:r w:rsidRPr="0033669F">
        <w:rPr>
          <w:rFonts w:cstheme="majorHAnsi"/>
        </w:rPr>
        <w:t>1.2 School characteristics and our progress</w:t>
      </w:r>
    </w:p>
    <w:p w14:paraId="2F3674CF" w14:textId="77777777" w:rsidR="00F860C0" w:rsidRPr="0033669F" w:rsidRDefault="0033669F">
      <w:pPr>
        <w:rPr>
          <w:rFonts w:asciiTheme="majorHAnsi" w:hAnsiTheme="majorHAnsi" w:cstheme="majorHAnsi"/>
        </w:rPr>
      </w:pPr>
      <w:r w:rsidRPr="0033669F">
        <w:rPr>
          <w:rFonts w:asciiTheme="majorHAnsi" w:hAnsiTheme="majorHAnsi" w:cstheme="majorHAnsi"/>
        </w:rPr>
        <w:t>Ysgol Gyfun Llangefni is a bilingual 11-18 secondary school maintained by Isle of Anglesey County Council. The school is located in Llangefni, in a predominantly Welsh-speaking area. According to the 2026-27 School Improvement Plan, there are 801 pupils on roll, including 90 in the sixth form; 78.5% speak Welsh at home and approximately 19.6% of pupils are eligible for free school meals.</w:t>
      </w:r>
      <w:r w:rsidRPr="0033669F">
        <w:rPr>
          <w:rFonts w:asciiTheme="majorHAnsi" w:hAnsiTheme="majorHAnsi" w:cstheme="majorHAnsi"/>
        </w:rPr>
      </w:r>
      <w:r w:rsidRPr="0033669F">
        <w:rPr>
          <w:rFonts w:asciiTheme="majorHAnsi" w:hAnsiTheme="majorHAnsi" w:cstheme="majorHAnsi"/>
        </w:rPr>
      </w:r>
    </w:p>
    <w:p w14:paraId="572C0104" w14:textId="77777777" w:rsidR="00F860C0" w:rsidRPr="0033669F" w:rsidRDefault="0033669F">
      <w:pPr>
        <w:rPr>
          <w:rFonts w:asciiTheme="majorHAnsi" w:hAnsiTheme="majorHAnsi" w:cstheme="majorHAnsi"/>
        </w:rPr>
      </w:pPr>
      <w:r w:rsidRPr="0033669F">
        <w:rPr>
          <w:rFonts w:asciiTheme="majorHAnsi" w:hAnsiTheme="majorHAnsi" w:cstheme="majorHAnsi"/>
        </w:rPr>
        <w:t>The school’s improvement priorities have been informed by discussions with parents, pupils, governors and the whole staff. The School Improvement Plan places particular emphasis on equitable access to learning, improving attendance, reducing gaps between groups, developing skills, responding to the needs of learners with ALN, and strengthening learner voice.</w:t>
      </w:r>
      <w:r w:rsidRPr="0033669F">
        <w:rPr>
          <w:rFonts w:asciiTheme="majorHAnsi" w:hAnsiTheme="majorHAnsi" w:cstheme="majorHAnsi"/>
        </w:rPr>
      </w:r>
    </w:p>
    <w:p w14:paraId="4E2FCBCC" w14:textId="77777777" w:rsidR="00F860C0" w:rsidRPr="0033669F" w:rsidRDefault="0033669F">
      <w:pPr>
        <w:rPr>
          <w:rFonts w:asciiTheme="majorHAnsi" w:hAnsiTheme="majorHAnsi" w:cstheme="majorHAnsi"/>
        </w:rPr>
      </w:pPr>
      <w:r w:rsidRPr="0033669F">
        <w:rPr>
          <w:rFonts w:asciiTheme="majorHAnsi" w:hAnsiTheme="majorHAnsi" w:cstheme="majorHAnsi"/>
        </w:rPr>
        <w:t>The documents available for preparing this plan do not provide a full evaluation of the previous Strategic Equality Plan or complete data for every protected characteristic. Therefore, during the first year of this plan the school will strengthen its equality baseline and use appropriate aggregated data to monitor differences without identifying individuals.</w:t>
      </w:r>
      <w:r w:rsidRPr="0033669F">
        <w:rPr>
          <w:rFonts w:asciiTheme="majorHAnsi" w:hAnsiTheme="majorHAnsi" w:cstheme="majorHAnsi"/>
        </w:rPr>
      </w:r>
      <w:r w:rsidRPr="0033669F">
        <w:rPr>
          <w:rFonts w:asciiTheme="majorHAnsi" w:hAnsiTheme="majorHAnsi" w:cstheme="majorHAnsi"/>
        </w:rPr>
      </w:r>
    </w:p>
    <w:p w14:paraId="1AAA26AE" w14:textId="77777777" w:rsidR="00F860C0" w:rsidRPr="0033669F" w:rsidRDefault="0033669F">
      <w:pPr>
        <w:pStyle w:val="Heading2"/>
        <w:rPr>
          <w:rFonts w:cstheme="majorHAnsi"/>
        </w:rPr>
      </w:pPr>
      <w:r w:rsidRPr="0033669F">
        <w:rPr>
          <w:rFonts w:cstheme="majorHAnsi"/>
        </w:rPr>
        <w:t>1.3 Mainstreaming equality and diversity</w:t>
      </w:r>
    </w:p>
    <w:p w14:paraId="0C9AA553"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use contextual data and self-evaluation information to identify barriers and differences between groups;</w:t>
      </w:r>
    </w:p>
    <w:p w14:paraId="23C518E7"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monitor the progress, attendance, behaviour, participation and wellbeing of relevant groups and take action when gaps emerge;</w:t>
      </w:r>
      <w:r w:rsidRPr="0033669F">
        <w:rPr>
          <w:rFonts w:asciiTheme="majorHAnsi" w:hAnsiTheme="majorHAnsi" w:cstheme="majorHAnsi"/>
        </w:rPr>
      </w:r>
    </w:p>
    <w:p w14:paraId="5B590ECA"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ensure equitable access to the curriculum, support, enrichment activities and pupil leadership opportunities;</w:t>
      </w:r>
    </w:p>
    <w:p w14:paraId="0299300E"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make reasonable adjustments and plan appropriate provision for disabled learners and learners with additional learning needs;</w:t>
      </w:r>
      <w:r w:rsidRPr="0033669F">
        <w:rPr>
          <w:rFonts w:asciiTheme="majorHAnsi" w:hAnsiTheme="majorHAnsi" w:cstheme="majorHAnsi"/>
        </w:rPr>
      </w:r>
    </w:p>
    <w:p w14:paraId="49D5464D"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promote images, resources and learning experiences that reflect diversity and challenge stereotypes and prejudice;</w:t>
      </w:r>
    </w:p>
    <w:p w14:paraId="15F6E12D"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respond consistently to bullying, harassment, racism and any discriminatory behaviour, recording and monitoring incidents in accordance with school and Local Authority procedures;</w:t>
      </w:r>
    </w:p>
    <w:p w14:paraId="3B2946BA"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use the voice of pupils, parents, staff and governors to evaluate the experiences of groups and refine provision.</w:t>
      </w:r>
      <w:r w:rsidRPr="0033669F">
        <w:rPr>
          <w:rFonts w:asciiTheme="majorHAnsi" w:hAnsiTheme="majorHAnsi" w:cstheme="majorHAnsi"/>
        </w:rPr>
      </w:r>
    </w:p>
    <w:p w14:paraId="398B1D12" w14:textId="77777777" w:rsidR="00F860C0" w:rsidRPr="0033669F" w:rsidRDefault="0033669F">
      <w:pPr>
        <w:pStyle w:val="Heading2"/>
        <w:rPr>
          <w:rFonts w:cstheme="majorHAnsi"/>
        </w:rPr>
      </w:pPr>
      <w:r w:rsidRPr="0033669F">
        <w:rPr>
          <w:rFonts w:cstheme="majorHAnsi"/>
        </w:rPr>
        <w:t>1.4 Setting our equality objectives</w:t>
      </w:r>
    </w:p>
    <w:p w14:paraId="28E70AAA" w14:textId="77777777" w:rsidR="00F860C0" w:rsidRPr="0033669F" w:rsidRDefault="0033669F">
      <w:pPr>
        <w:rPr>
          <w:rFonts w:asciiTheme="majorHAnsi" w:hAnsiTheme="majorHAnsi" w:cstheme="majorHAnsi"/>
        </w:rPr>
      </w:pPr>
      <w:r w:rsidRPr="0033669F">
        <w:rPr>
          <w:rFonts w:asciiTheme="majorHAnsi" w:hAnsiTheme="majorHAnsi" w:cstheme="majorHAnsi"/>
        </w:rPr>
        <w:t>In setting these objectives, the school gives due regard to the general duty under the Equality Act 2010: to eliminate discrimination, harassment and victimisation; advance equality of opportunity; and foster good relations between people who share a protected characteristic and those who do not.</w:t>
      </w:r>
      <w:r w:rsidRPr="0033669F">
        <w:rPr>
          <w:rFonts w:asciiTheme="majorHAnsi" w:hAnsiTheme="majorHAnsi" w:cstheme="majorHAnsi"/>
        </w:rPr>
      </w:r>
    </w:p>
    <w:p w14:paraId="4290EE67" w14:textId="77777777" w:rsidR="00F860C0" w:rsidRPr="0033669F" w:rsidRDefault="0033669F">
      <w:pPr>
        <w:rPr>
          <w:rFonts w:asciiTheme="majorHAnsi" w:hAnsiTheme="majorHAnsi" w:cstheme="majorHAnsi"/>
        </w:rPr>
      </w:pPr>
      <w:r w:rsidRPr="0033669F">
        <w:rPr>
          <w:rFonts w:asciiTheme="majorHAnsi" w:hAnsiTheme="majorHAnsi" w:cstheme="majorHAnsi"/>
        </w:rPr>
        <w:t>The objectives are based on the school’s current context and priorities, evidence from the School Improvement Plan, stakeholder views and the need to improve the quality of available equality data. A separate objective is not set for every protected characteristic; instead, the school will monitor all relevant characteristics and focus specific action where data, experience or stakeholder voice indicates inequality or a risk of discrimination.</w:t>
      </w:r>
      <w:r w:rsidRPr="0033669F">
        <w:rPr>
          <w:rFonts w:asciiTheme="majorHAnsi" w:hAnsiTheme="majorHAnsi" w:cstheme="majorHAnsi"/>
        </w:rPr>
      </w:r>
      <w:r w:rsidRPr="0033669F">
        <w:rPr>
          <w:rFonts w:asciiTheme="majorHAnsi" w:hAnsiTheme="majorHAnsi" w:cstheme="majorHAnsi"/>
        </w:rPr>
      </w:r>
    </w:p>
    <w:p w14:paraId="4D16CCAB" w14:textId="77777777" w:rsidR="00F860C0" w:rsidRPr="0033669F" w:rsidRDefault="0033669F">
      <w:pPr>
        <w:pStyle w:val="Heading2"/>
        <w:rPr>
          <w:rFonts w:cstheme="majorHAnsi"/>
        </w:rPr>
      </w:pPr>
      <w:r w:rsidRPr="0033669F">
        <w:rPr>
          <w:rFonts w:cstheme="majorHAnsi"/>
        </w:rPr>
        <w:t>1.5 Link to the School Improvement Plan 2026-27</w:t>
      </w:r>
    </w:p>
    <w:tbl>
      <w:tblPr>
        <w:tblStyle w:val="TableGrid"/>
        <w:tblW w:w="0" w:type="auto"/>
        <w:jc w:val="center"/>
        <w:tblLook w:val="04A0" w:firstRow="1" w:lastRow="0" w:firstColumn="1" w:lastColumn="0" w:noHBand="0" w:noVBand="1"/>
      </w:tblPr>
      <w:tblGrid>
        <w:gridCol w:w="3356"/>
        <w:gridCol w:w="3357"/>
        <w:gridCol w:w="3357"/>
      </w:tblGrid>
      <w:tr w:rsidR="00F860C0" w:rsidRPr="0033669F" w14:paraId="129098A2" w14:textId="77777777">
        <w:trPr>
          <w:jc w:val="center"/>
        </w:trPr>
        <w:tc>
          <w:tcPr>
            <w:tcW w:w="3360" w:type="dxa"/>
            <w:shd w:val="clear" w:color="auto" w:fill="1F4E79"/>
            <w:tcMar>
              <w:top w:w="90" w:type="dxa"/>
              <w:left w:w="110" w:type="dxa"/>
              <w:bottom w:w="90" w:type="dxa"/>
              <w:right w:w="110" w:type="dxa"/>
            </w:tcMar>
            <w:vAlign w:val="center"/>
          </w:tcPr>
          <w:p w14:paraId="7EB6A17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SEP Area</w:t>
            </w:r>
          </w:p>
        </w:tc>
        <w:tc>
          <w:tcPr>
            <w:tcW w:w="3360" w:type="dxa"/>
            <w:shd w:val="clear" w:color="auto" w:fill="1F4E79"/>
            <w:tcMar>
              <w:top w:w="90" w:type="dxa"/>
              <w:left w:w="110" w:type="dxa"/>
              <w:bottom w:w="90" w:type="dxa"/>
              <w:right w:w="110" w:type="dxa"/>
            </w:tcMar>
            <w:vAlign w:val="center"/>
          </w:tcPr>
          <w:p w14:paraId="3F5E7C2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Link to the SIP</w:t>
            </w:r>
          </w:p>
        </w:tc>
        <w:tc>
          <w:tcPr>
            <w:tcW w:w="3360" w:type="dxa"/>
            <w:shd w:val="clear" w:color="auto" w:fill="1F4E79"/>
            <w:tcMar>
              <w:top w:w="90" w:type="dxa"/>
              <w:left w:w="110" w:type="dxa"/>
              <w:bottom w:w="90" w:type="dxa"/>
              <w:right w:w="110" w:type="dxa"/>
            </w:tcMar>
            <w:vAlign w:val="center"/>
          </w:tcPr>
          <w:p w14:paraId="26CC9C3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 / measure</w:t>
            </w:r>
          </w:p>
        </w:tc>
      </w:tr>
      <w:tr w:rsidR="00F860C0" w:rsidRPr="0033669F" w14:paraId="1F9F6ABF" w14:textId="77777777">
        <w:trPr>
          <w:jc w:val="center"/>
        </w:trPr>
        <w:tc>
          <w:tcPr>
            <w:tcW w:w="3360" w:type="dxa"/>
            <w:tcMar>
              <w:top w:w="90" w:type="dxa"/>
              <w:left w:w="110" w:type="dxa"/>
              <w:bottom w:w="90" w:type="dxa"/>
              <w:right w:w="110" w:type="dxa"/>
            </w:tcMar>
            <w:vAlign w:val="center"/>
          </w:tcPr>
          <w:p w14:paraId="503C455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Attendance and access</w:t>
            </w:r>
          </w:p>
        </w:tc>
        <w:tc>
          <w:tcPr>
            <w:tcW w:w="3360" w:type="dxa"/>
            <w:tcMar>
              <w:top w:w="90" w:type="dxa"/>
              <w:left w:w="110" w:type="dxa"/>
              <w:bottom w:w="90" w:type="dxa"/>
              <w:right w:w="110" w:type="dxa"/>
            </w:tcMar>
            <w:vAlign w:val="center"/>
          </w:tcPr>
          <w:p w14:paraId="333DB15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Improve attendance and reduce the gap between FSM/non-FSM and ALN/peers</w:t>
            </w:r>
          </w:p>
        </w:tc>
        <w:tc>
          <w:tcPr>
            <w:tcW w:w="3360" w:type="dxa"/>
            <w:tcMar>
              <w:top w:w="90" w:type="dxa"/>
              <w:left w:w="110" w:type="dxa"/>
              <w:bottom w:w="90" w:type="dxa"/>
              <w:right w:w="110" w:type="dxa"/>
            </w:tcMar>
            <w:vAlign w:val="center"/>
          </w:tcPr>
          <w:p w14:paraId="60C9250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Whole-school attendance; group gaps; pupil and parent voice</w:t>
            </w:r>
            <w:r w:rsidRPr="0033669F">
              <w:rPr>
                <w:rFonts w:asciiTheme="majorHAnsi" w:hAnsiTheme="majorHAnsi" w:cstheme="majorHAnsi"/>
                <w:sz w:val="19"/>
              </w:rPr>
            </w:r>
          </w:p>
        </w:tc>
      </w:tr>
      <w:tr w:rsidR="00F860C0" w:rsidRPr="0033669F" w14:paraId="19F5CCC4" w14:textId="77777777">
        <w:trPr>
          <w:jc w:val="center"/>
        </w:trPr>
        <w:tc>
          <w:tcPr>
            <w:tcW w:w="3360" w:type="dxa"/>
            <w:tcMar>
              <w:top w:w="90" w:type="dxa"/>
              <w:left w:w="110" w:type="dxa"/>
              <w:bottom w:w="90" w:type="dxa"/>
              <w:right w:w="110" w:type="dxa"/>
            </w:tcMar>
            <w:vAlign w:val="center"/>
          </w:tcPr>
          <w:p w14:paraId="41CEE10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Progress and skills</w:t>
            </w:r>
          </w:p>
        </w:tc>
        <w:tc>
          <w:tcPr>
            <w:tcW w:w="3360" w:type="dxa"/>
            <w:tcMar>
              <w:top w:w="90" w:type="dxa"/>
              <w:left w:w="110" w:type="dxa"/>
              <w:bottom w:w="90" w:type="dxa"/>
              <w:right w:w="110" w:type="dxa"/>
            </w:tcMar>
            <w:vAlign w:val="center"/>
          </w:tcPr>
          <w:p w14:paraId="389A9F0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Improve literacy, numeracy and digital skills; analyse specific groups</w:t>
            </w:r>
          </w:p>
        </w:tc>
        <w:tc>
          <w:tcPr>
            <w:tcW w:w="3360" w:type="dxa"/>
            <w:tcMar>
              <w:top w:w="90" w:type="dxa"/>
              <w:left w:w="110" w:type="dxa"/>
              <w:bottom w:w="90" w:type="dxa"/>
              <w:right w:w="110" w:type="dxa"/>
            </w:tcMar>
            <w:vAlign w:val="center"/>
          </w:tcPr>
          <w:p w14:paraId="1ED2D9A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Internal assessments; personalised assessments; scrutiny; group analysis</w:t>
            </w:r>
          </w:p>
        </w:tc>
      </w:tr>
      <w:tr w:rsidR="00F860C0" w:rsidRPr="0033669F" w14:paraId="67034413" w14:textId="77777777">
        <w:trPr>
          <w:jc w:val="center"/>
        </w:trPr>
        <w:tc>
          <w:tcPr>
            <w:tcW w:w="3360" w:type="dxa"/>
            <w:tcMar>
              <w:top w:w="90" w:type="dxa"/>
              <w:left w:w="110" w:type="dxa"/>
              <w:bottom w:w="90" w:type="dxa"/>
              <w:right w:w="110" w:type="dxa"/>
            </w:tcMar>
            <w:vAlign w:val="center"/>
          </w:tcPr>
          <w:p w14:paraId="05BD4BE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Inclusion and wellbeing</w:t>
            </w:r>
          </w:p>
        </w:tc>
        <w:tc>
          <w:tcPr>
            <w:tcW w:w="3360" w:type="dxa"/>
            <w:tcMar>
              <w:top w:w="90" w:type="dxa"/>
              <w:left w:w="110" w:type="dxa"/>
              <w:bottom w:w="90" w:type="dxa"/>
              <w:right w:w="110" w:type="dxa"/>
            </w:tcMar>
            <w:vAlign w:val="center"/>
          </w:tcPr>
          <w:p w14:paraId="4A15A87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Behaviour, engagement, trauma-informed school, care and support</w:t>
            </w:r>
            <w:r w:rsidRPr="0033669F">
              <w:rPr>
                <w:rFonts w:asciiTheme="majorHAnsi" w:hAnsiTheme="majorHAnsi" w:cstheme="majorHAnsi"/>
                <w:sz w:val="19"/>
              </w:rPr>
            </w:r>
          </w:p>
        </w:tc>
        <w:tc>
          <w:tcPr>
            <w:tcW w:w="3360" w:type="dxa"/>
            <w:tcMar>
              <w:top w:w="90" w:type="dxa"/>
              <w:left w:w="110" w:type="dxa"/>
              <w:bottom w:w="90" w:type="dxa"/>
              <w:right w:w="110" w:type="dxa"/>
            </w:tcMar>
            <w:vAlign w:val="center"/>
          </w:tcPr>
          <w:p w14:paraId="3BEBFAD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Pupil voice; incident records; behaviour and wellbeing data</w:t>
            </w:r>
          </w:p>
        </w:tc>
      </w:tr>
      <w:tr w:rsidR="00F860C0" w:rsidRPr="0033669F" w14:paraId="42BE23B1" w14:textId="77777777">
        <w:trPr>
          <w:jc w:val="center"/>
        </w:trPr>
        <w:tc>
          <w:tcPr>
            <w:tcW w:w="3360" w:type="dxa"/>
            <w:tcMar>
              <w:top w:w="90" w:type="dxa"/>
              <w:left w:w="110" w:type="dxa"/>
              <w:bottom w:w="90" w:type="dxa"/>
              <w:right w:w="110" w:type="dxa"/>
            </w:tcMar>
            <w:vAlign w:val="center"/>
          </w:tcPr>
          <w:p w14:paraId="035786A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Participation and accessibility</w:t>
            </w:r>
          </w:p>
        </w:tc>
        <w:tc>
          <w:tcPr>
            <w:tcW w:w="3360" w:type="dxa"/>
            <w:tcMar>
              <w:top w:w="90" w:type="dxa"/>
              <w:left w:w="110" w:type="dxa"/>
              <w:bottom w:w="90" w:type="dxa"/>
              <w:right w:w="110" w:type="dxa"/>
            </w:tcMar>
            <w:vAlign w:val="center"/>
          </w:tcPr>
          <w:p w14:paraId="4FD5E19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Learner voice, appropriate curriculum, response to ALN</w:t>
            </w:r>
          </w:p>
        </w:tc>
        <w:tc>
          <w:tcPr>
            <w:tcW w:w="3360" w:type="dxa"/>
            <w:tcMar>
              <w:top w:w="90" w:type="dxa"/>
              <w:left w:w="110" w:type="dxa"/>
              <w:bottom w:w="90" w:type="dxa"/>
              <w:right w:w="110" w:type="dxa"/>
            </w:tcMar>
            <w:vAlign w:val="center"/>
          </w:tcPr>
          <w:p w14:paraId="5B3CB37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Participation; reasonable adjustments; voice; access to provision</w:t>
            </w:r>
          </w:p>
        </w:tc>
      </w:tr>
    </w:tbl>
    <w:p w14:paraId="136C0503" w14:textId="77777777" w:rsidR="00F860C0" w:rsidRPr="0033669F" w:rsidRDefault="0033669F">
      <w:pPr>
        <w:pStyle w:val="Heading1"/>
        <w:rPr>
          <w:rFonts w:cstheme="majorHAnsi"/>
        </w:rPr>
      </w:pPr>
      <w:r w:rsidRPr="0033669F">
        <w:rPr>
          <w:rFonts w:cstheme="majorHAnsi"/>
        </w:rPr>
        <w:t>2. Responsibilities</w:t>
      </w:r>
    </w:p>
    <w:p w14:paraId="3208F10C" w14:textId="77777777" w:rsidR="00F860C0" w:rsidRPr="0033669F" w:rsidRDefault="0033669F">
      <w:pPr>
        <w:pStyle w:val="Heading2"/>
        <w:rPr>
          <w:rFonts w:cstheme="majorHAnsi"/>
        </w:rPr>
      </w:pPr>
      <w:r w:rsidRPr="0033669F">
        <w:rPr>
          <w:rFonts w:cstheme="majorHAnsi"/>
        </w:rPr>
        <w:t>2.1 The Governing Body</w:t>
      </w:r>
      <w:r w:rsidRPr="0033669F">
        <w:rPr>
          <w:rFonts w:cstheme="majorHAnsi"/>
        </w:rPr>
      </w:r>
    </w:p>
    <w:p w14:paraId="1C14329A" w14:textId="77777777" w:rsidR="00F860C0" w:rsidRPr="0033669F" w:rsidRDefault="0033669F">
      <w:pPr>
        <w:rPr>
          <w:rFonts w:asciiTheme="majorHAnsi" w:hAnsiTheme="majorHAnsi" w:cstheme="majorHAnsi"/>
        </w:rPr>
      </w:pPr>
      <w:r w:rsidRPr="0033669F">
        <w:rPr>
          <w:rFonts w:asciiTheme="majorHAnsi" w:hAnsiTheme="majorHAnsi" w:cstheme="majorHAnsi"/>
        </w:rPr>
        <w:t>The Governing Body oversees implementation of the plan, ensures that equality is considered in decision-making, and receives a report at least annually on progress, impact and next steps.</w:t>
      </w:r>
    </w:p>
    <w:p w14:paraId="4DE5FE3C" w14:textId="77777777" w:rsidR="00F860C0" w:rsidRPr="0033669F" w:rsidRDefault="0033669F">
      <w:pPr>
        <w:pStyle w:val="Heading2"/>
        <w:rPr>
          <w:rFonts w:cstheme="majorHAnsi"/>
        </w:rPr>
      </w:pPr>
      <w:r w:rsidRPr="0033669F">
        <w:rPr>
          <w:rFonts w:cstheme="majorHAnsi"/>
        </w:rPr>
        <w:t>2.2 The Senior Leadership Team</w:t>
      </w:r>
    </w:p>
    <w:p w14:paraId="0B5717CC" w14:textId="77777777" w:rsidR="00F860C0" w:rsidRPr="0033669F" w:rsidRDefault="0033669F">
      <w:pPr>
        <w:rPr>
          <w:rFonts w:asciiTheme="majorHAnsi" w:hAnsiTheme="majorHAnsi" w:cstheme="majorHAnsi"/>
        </w:rPr>
      </w:pPr>
      <w:r w:rsidRPr="0033669F">
        <w:rPr>
          <w:rFonts w:asciiTheme="majorHAnsi" w:hAnsiTheme="majorHAnsi" w:cstheme="majorHAnsi"/>
        </w:rPr>
        <w:t>The Senior Leadership Team is responsible for mainstreaming equality through improvement planning, quality assurance, professional development, staffing arrangements, the curriculum and pastoral systems. The SLT will ensure that relevant data is analysed and that action is taken when differences or barriers are identified.</w:t>
      </w:r>
      <w:r w:rsidRPr="0033669F">
        <w:rPr>
          <w:rFonts w:asciiTheme="majorHAnsi" w:hAnsiTheme="majorHAnsi" w:cstheme="majorHAnsi"/>
        </w:rPr>
      </w:r>
      <w:r w:rsidRPr="0033669F">
        <w:rPr>
          <w:rFonts w:asciiTheme="majorHAnsi" w:hAnsiTheme="majorHAnsi" w:cstheme="majorHAnsi"/>
        </w:rPr>
      </w:r>
    </w:p>
    <w:p w14:paraId="273891FA" w14:textId="77777777" w:rsidR="00F860C0" w:rsidRPr="0033669F" w:rsidRDefault="0033669F">
      <w:pPr>
        <w:pStyle w:val="Heading2"/>
        <w:rPr>
          <w:rFonts w:cstheme="majorHAnsi"/>
        </w:rPr>
      </w:pPr>
      <w:r w:rsidRPr="0033669F">
        <w:rPr>
          <w:rFonts w:cstheme="majorHAnsi"/>
        </w:rPr>
        <w:t>2.3 Teaching and non-teaching staff</w:t>
      </w:r>
    </w:p>
    <w:p w14:paraId="4044E562" w14:textId="77777777" w:rsidR="00F860C0" w:rsidRPr="0033669F" w:rsidRDefault="0033669F">
      <w:pPr>
        <w:rPr>
          <w:rFonts w:asciiTheme="majorHAnsi" w:hAnsiTheme="majorHAnsi" w:cstheme="majorHAnsi"/>
        </w:rPr>
      </w:pPr>
      <w:r w:rsidRPr="0033669F">
        <w:rPr>
          <w:rFonts w:asciiTheme="majorHAnsi" w:hAnsiTheme="majorHAnsi" w:cstheme="majorHAnsi"/>
        </w:rPr>
        <w:t>Every member of staff is responsible for treating people fairly and with respect, providing inclusive experiences, challenging prejudice and discrimination, recording appropriate incidents, and implementing agreed adjustments and support strategies.</w:t>
      </w:r>
      <w:r w:rsidRPr="0033669F">
        <w:rPr>
          <w:rFonts w:asciiTheme="majorHAnsi" w:hAnsiTheme="majorHAnsi" w:cstheme="majorHAnsi"/>
        </w:rPr>
      </w:r>
    </w:p>
    <w:p w14:paraId="2E20B7F8" w14:textId="77777777" w:rsidR="00F860C0" w:rsidRPr="0033669F" w:rsidRDefault="0033669F">
      <w:pPr>
        <w:pStyle w:val="Heading2"/>
        <w:rPr>
          <w:rFonts w:cstheme="majorHAnsi"/>
        </w:rPr>
      </w:pPr>
      <w:r w:rsidRPr="0033669F">
        <w:rPr>
          <w:rFonts w:cstheme="majorHAnsi"/>
        </w:rPr>
        <w:t>2.4 Pupils</w:t>
      </w:r>
    </w:p>
    <w:p w14:paraId="383E76FE" w14:textId="77777777" w:rsidR="00F860C0" w:rsidRPr="0033669F" w:rsidRDefault="0033669F">
      <w:pPr>
        <w:rPr>
          <w:rFonts w:asciiTheme="majorHAnsi" w:hAnsiTheme="majorHAnsi" w:cstheme="majorHAnsi"/>
        </w:rPr>
      </w:pPr>
      <w:r w:rsidRPr="0033669F">
        <w:rPr>
          <w:rFonts w:asciiTheme="majorHAnsi" w:hAnsiTheme="majorHAnsi" w:cstheme="majorHAnsi"/>
        </w:rPr>
        <w:t>Pupils are expected to respect the rights and dignity of others, challenge prejudice appropriately, report concerns and contribute through learner voice opportunities.</w:t>
      </w:r>
    </w:p>
    <w:p w14:paraId="4F67B634" w14:textId="77777777" w:rsidR="00F860C0" w:rsidRPr="0033669F" w:rsidRDefault="0033669F">
      <w:pPr>
        <w:pStyle w:val="Heading2"/>
        <w:rPr>
          <w:rFonts w:cstheme="majorHAnsi"/>
        </w:rPr>
      </w:pPr>
      <w:r w:rsidRPr="0033669F">
        <w:rPr>
          <w:rFonts w:cstheme="majorHAnsi"/>
        </w:rPr>
        <w:t>2.5 Parents, carers and the community</w:t>
      </w:r>
      <w:r w:rsidRPr="0033669F">
        <w:rPr>
          <w:rFonts w:cstheme="majorHAnsi"/>
        </w:rPr>
      </w:r>
    </w:p>
    <w:p w14:paraId="58C5D11D" w14:textId="77777777" w:rsidR="00F860C0" w:rsidRPr="0033669F" w:rsidRDefault="0033669F">
      <w:pPr>
        <w:rPr>
          <w:rFonts w:asciiTheme="majorHAnsi" w:hAnsiTheme="majorHAnsi" w:cstheme="majorHAnsi"/>
        </w:rPr>
      </w:pPr>
      <w:r w:rsidRPr="0033669F">
        <w:rPr>
          <w:rFonts w:asciiTheme="majorHAnsi" w:hAnsiTheme="majorHAnsi" w:cstheme="majorHAnsi"/>
        </w:rPr>
        <w:t>The school will seek to engage with parents and carers in an accessible and timely way, respond to barriers to communication or participation, and use feedback to improve provision.</w:t>
      </w:r>
    </w:p>
    <w:p w14:paraId="37F438C7" w14:textId="77777777" w:rsidR="00F860C0" w:rsidRPr="0033669F" w:rsidRDefault="0033669F">
      <w:pPr>
        <w:pStyle w:val="Heading1"/>
        <w:rPr>
          <w:rFonts w:cstheme="majorHAnsi"/>
        </w:rPr>
      </w:pPr>
      <w:r w:rsidRPr="0033669F">
        <w:rPr>
          <w:rFonts w:cstheme="majorHAnsi"/>
        </w:rPr>
        <w:t>3. Information gathering and engagement</w:t>
      </w:r>
    </w:p>
    <w:p w14:paraId="2F32EBB5" w14:textId="77777777" w:rsidR="00F860C0" w:rsidRPr="0033669F" w:rsidRDefault="0033669F">
      <w:pPr>
        <w:pStyle w:val="Heading2"/>
        <w:rPr>
          <w:rFonts w:cstheme="majorHAnsi"/>
        </w:rPr>
      </w:pPr>
      <w:r w:rsidRPr="0033669F">
        <w:rPr>
          <w:rFonts w:cstheme="majorHAnsi"/>
        </w:rPr>
        <w:t>3.1 Purpose and process</w:t>
      </w:r>
    </w:p>
    <w:p w14:paraId="4F89482F" w14:textId="77777777" w:rsidR="00F860C0" w:rsidRPr="0033669F" w:rsidRDefault="0033669F">
      <w:pPr>
        <w:rPr>
          <w:rFonts w:asciiTheme="majorHAnsi" w:hAnsiTheme="majorHAnsi" w:cstheme="majorHAnsi"/>
        </w:rPr>
      </w:pPr>
      <w:r w:rsidRPr="0033669F">
        <w:rPr>
          <w:rFonts w:asciiTheme="majorHAnsi" w:hAnsiTheme="majorHAnsi" w:cstheme="majorHAnsi"/>
        </w:rPr>
        <w:t>The school will collect and analyse information that is proportionate, relevant and secure in order to identify inequalities, evaluate the impact of action and set priorities. Data will be used at an aggregated level, with appropriate regard to confidentiality and protecting individuals’ identities.</w:t>
      </w:r>
      <w:r w:rsidRPr="0033669F">
        <w:rPr>
          <w:rFonts w:asciiTheme="majorHAnsi" w:hAnsiTheme="majorHAnsi" w:cstheme="majorHAnsi"/>
        </w:rPr>
      </w:r>
    </w:p>
    <w:p w14:paraId="60A30D36" w14:textId="77777777" w:rsidR="00F860C0" w:rsidRPr="0033669F" w:rsidRDefault="0033669F">
      <w:pPr>
        <w:pStyle w:val="Heading2"/>
        <w:rPr>
          <w:rFonts w:cstheme="majorHAnsi"/>
        </w:rPr>
      </w:pPr>
      <w:r w:rsidRPr="0033669F">
        <w:rPr>
          <w:rFonts w:cstheme="majorHAnsi"/>
        </w:rPr>
        <w:t>3.2 Information used</w:t>
      </w:r>
    </w:p>
    <w:p w14:paraId="6A3EBE29"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attendance, persistent absence and punctuality;</w:t>
      </w:r>
    </w:p>
    <w:p w14:paraId="04121A2B"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progress, attainment and skills development;</w:t>
      </w:r>
    </w:p>
    <w:p w14:paraId="45828CFB"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behaviour data, exclusions/incidents and cases of prejudice-related bullying or harassment;</w:t>
      </w:r>
    </w:p>
    <w:p w14:paraId="3C675D37"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access to the curriculum, options, interventions, enrichment activities and pupil voice;</w:t>
      </w:r>
      <w:r w:rsidRPr="0033669F">
        <w:rPr>
          <w:rFonts w:asciiTheme="majorHAnsi" w:hAnsiTheme="majorHAnsi" w:cstheme="majorHAnsi"/>
        </w:rPr>
      </w:r>
    </w:p>
    <w:p w14:paraId="646FCD43"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feedback from pupils, parents/carers, staff and governors;</w:t>
      </w:r>
    </w:p>
    <w:p w14:paraId="30226BB7"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information about reasonable adjustments, accessibility and barriers to participation;</w:t>
      </w:r>
    </w:p>
    <w:p w14:paraId="338B264B"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workforce data where appropriate, proportionate and sufficient to protect confidentiality.</w:t>
      </w:r>
      <w:r w:rsidRPr="0033669F">
        <w:rPr>
          <w:rFonts w:asciiTheme="majorHAnsi" w:hAnsiTheme="majorHAnsi" w:cstheme="majorHAnsi"/>
        </w:rPr>
      </w:r>
    </w:p>
    <w:p w14:paraId="7C48EAC7" w14:textId="77777777" w:rsidR="00F860C0" w:rsidRPr="0033669F" w:rsidRDefault="0033669F">
      <w:pPr>
        <w:pStyle w:val="Heading2"/>
        <w:rPr>
          <w:rFonts w:cstheme="majorHAnsi"/>
        </w:rPr>
      </w:pPr>
      <w:r w:rsidRPr="0033669F">
        <w:rPr>
          <w:rFonts w:cstheme="majorHAnsi"/>
        </w:rPr>
        <w:t>3.3 Engagement</w:t>
      </w:r>
    </w:p>
    <w:p w14:paraId="1463C4D7" w14:textId="77777777" w:rsidR="00F860C0" w:rsidRPr="0033669F" w:rsidRDefault="0033669F">
      <w:pPr>
        <w:rPr>
          <w:rFonts w:asciiTheme="majorHAnsi" w:hAnsiTheme="majorHAnsi" w:cstheme="majorHAnsi"/>
        </w:rPr>
      </w:pPr>
      <w:r w:rsidRPr="0033669F">
        <w:rPr>
          <w:rFonts w:asciiTheme="majorHAnsi" w:hAnsiTheme="majorHAnsi" w:cstheme="majorHAnsi"/>
        </w:rPr>
        <w:t>The School Improvement Plan notes that the school’s priorities arose from discussions with parents, pupils, governors and the whole staff. The SEP will build on this approach by including questions about equality and sense of belonging in surveys, focus groups, meetings and learner voice activities. The school will take account of barriers relating to language, communication, disability, digital access and timing when planning engagement.</w:t>
      </w:r>
      <w:r w:rsidRPr="0033669F">
        <w:rPr>
          <w:rFonts w:asciiTheme="majorHAnsi" w:hAnsiTheme="majorHAnsi" w:cstheme="majorHAnsi"/>
        </w:rPr>
      </w:r>
    </w:p>
    <w:p w14:paraId="528318FD" w14:textId="77777777" w:rsidR="00F860C0" w:rsidRPr="0033669F" w:rsidRDefault="0033669F">
      <w:pPr>
        <w:pStyle w:val="Heading1"/>
        <w:rPr>
          <w:rFonts w:cstheme="majorHAnsi"/>
        </w:rPr>
      </w:pPr>
      <w:r w:rsidRPr="0033669F">
        <w:rPr>
          <w:rFonts w:cstheme="majorHAnsi"/>
        </w:rPr>
        <w:t>4. Assessing impact</w:t>
      </w:r>
      <w:r w:rsidRPr="0033669F">
        <w:rPr>
          <w:rFonts w:cstheme="majorHAnsi"/>
        </w:rPr>
      </w:r>
    </w:p>
    <w:p w14:paraId="0A62742F" w14:textId="77777777" w:rsidR="00F860C0" w:rsidRPr="0033669F" w:rsidRDefault="0033669F">
      <w:pPr>
        <w:rPr>
          <w:rFonts w:asciiTheme="majorHAnsi" w:hAnsiTheme="majorHAnsi" w:cstheme="majorHAnsi"/>
        </w:rPr>
      </w:pPr>
      <w:r w:rsidRPr="0033669F">
        <w:rPr>
          <w:rFonts w:asciiTheme="majorHAnsi" w:hAnsiTheme="majorHAnsi" w:cstheme="majorHAnsi"/>
        </w:rPr>
        <w:t>Equality will be considered when developing or reviewing policies, procedures, curriculum changes, access arrangements, communications and strategic decisions. The school will consider whether a decision could create disproportionate disadvantage, what adjustments or mitigating actions are required, and how impact will be monitored. Relevant findings will be recorded through the school’s self-evaluation and quality assurance processes.</w:t>
      </w:r>
      <w:r w:rsidRPr="0033669F">
        <w:rPr>
          <w:rFonts w:asciiTheme="majorHAnsi" w:hAnsiTheme="majorHAnsi" w:cstheme="majorHAnsi"/>
        </w:rPr>
      </w:r>
    </w:p>
    <w:p w14:paraId="7E0FF37B" w14:textId="77777777" w:rsidR="002878D1" w:rsidRPr="0033669F" w:rsidRDefault="002878D1">
      <w:pPr>
        <w:rPr>
          <w:rFonts w:asciiTheme="majorHAnsi" w:hAnsiTheme="majorHAnsi" w:cstheme="majorHAnsi"/>
        </w:rPr>
      </w:pPr>
    </w:p>
    <w:p w14:paraId="44FCAFAB" w14:textId="77777777" w:rsidR="002878D1" w:rsidRPr="0033669F" w:rsidRDefault="002878D1">
      <w:pPr>
        <w:rPr>
          <w:rFonts w:asciiTheme="majorHAnsi" w:hAnsiTheme="majorHAnsi" w:cstheme="majorHAnsi"/>
        </w:rPr>
      </w:pPr>
    </w:p>
    <w:p w14:paraId="2CEC01DF" w14:textId="77777777" w:rsidR="00F860C0" w:rsidRPr="0033669F" w:rsidRDefault="0033669F">
      <w:pPr>
        <w:pStyle w:val="Heading1"/>
        <w:rPr>
          <w:rFonts w:cstheme="majorHAnsi"/>
        </w:rPr>
      </w:pPr>
      <w:r w:rsidRPr="0033669F">
        <w:rPr>
          <w:rFonts w:cstheme="majorHAnsi"/>
        </w:rPr>
        <w:t>5. Equality Objectives 2026-2030</w:t>
      </w:r>
    </w:p>
    <w:tbl>
      <w:tblPr>
        <w:tblStyle w:val="TableGrid"/>
        <w:tblW w:w="0" w:type="auto"/>
        <w:jc w:val="center"/>
        <w:tblLook w:val="04A0" w:firstRow="1" w:lastRow="0" w:firstColumn="1" w:lastColumn="0" w:noHBand="0" w:noVBand="1"/>
      </w:tblPr>
      <w:tblGrid>
        <w:gridCol w:w="5035"/>
        <w:gridCol w:w="5035"/>
      </w:tblGrid>
      <w:tr w:rsidR="00F860C0" w:rsidRPr="0033669F" w14:paraId="6F8D4E78" w14:textId="77777777">
        <w:trPr>
          <w:jc w:val="center"/>
        </w:trPr>
        <w:tc>
          <w:tcPr>
            <w:tcW w:w="5040" w:type="dxa"/>
            <w:shd w:val="clear" w:color="auto" w:fill="1F4E79"/>
            <w:tcMar>
              <w:top w:w="90" w:type="dxa"/>
              <w:left w:w="110" w:type="dxa"/>
              <w:bottom w:w="90" w:type="dxa"/>
              <w:right w:w="110" w:type="dxa"/>
            </w:tcMar>
            <w:vAlign w:val="center"/>
          </w:tcPr>
          <w:p w14:paraId="75109E2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Objective</w:t>
            </w:r>
          </w:p>
        </w:tc>
        <w:tc>
          <w:tcPr>
            <w:tcW w:w="5040" w:type="dxa"/>
            <w:shd w:val="clear" w:color="auto" w:fill="1F4E79"/>
            <w:tcMar>
              <w:top w:w="90" w:type="dxa"/>
              <w:left w:w="110" w:type="dxa"/>
              <w:bottom w:w="90" w:type="dxa"/>
              <w:right w:w="110" w:type="dxa"/>
            </w:tcMar>
            <w:vAlign w:val="center"/>
          </w:tcPr>
          <w:p w14:paraId="1991203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Statement</w:t>
            </w:r>
          </w:p>
        </w:tc>
      </w:tr>
      <w:tr w:rsidR="00F860C0" w:rsidRPr="0033669F" w14:paraId="7883659C" w14:textId="77777777">
        <w:trPr>
          <w:jc w:val="center"/>
        </w:trPr>
        <w:tc>
          <w:tcPr>
            <w:tcW w:w="5040" w:type="dxa"/>
            <w:tcMar>
              <w:top w:w="90" w:type="dxa"/>
              <w:left w:w="110" w:type="dxa"/>
              <w:bottom w:w="90" w:type="dxa"/>
              <w:right w:w="110" w:type="dxa"/>
            </w:tcMar>
            <w:vAlign w:val="center"/>
          </w:tcPr>
          <w:p w14:paraId="1B083AC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1</w:t>
            </w:r>
          </w:p>
        </w:tc>
        <w:tc>
          <w:tcPr>
            <w:tcW w:w="5040" w:type="dxa"/>
            <w:tcMar>
              <w:top w:w="90" w:type="dxa"/>
              <w:left w:w="110" w:type="dxa"/>
              <w:bottom w:w="90" w:type="dxa"/>
              <w:right w:w="110" w:type="dxa"/>
            </w:tcMar>
            <w:vAlign w:val="center"/>
          </w:tcPr>
          <w:p w14:paraId="25C4587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Improve equality of access to learning by reducing barriers to attendance and engagement, specifically monitoring any differences associated with protected characteristics.</w:t>
            </w:r>
            <w:r w:rsidRPr="0033669F">
              <w:rPr>
                <w:rFonts w:asciiTheme="majorHAnsi" w:hAnsiTheme="majorHAnsi" w:cstheme="majorHAnsi"/>
                <w:sz w:val="19"/>
              </w:rPr>
            </w:r>
          </w:p>
        </w:tc>
      </w:tr>
      <w:tr w:rsidR="00F860C0" w:rsidRPr="0033669F" w14:paraId="122A2276" w14:textId="77777777">
        <w:trPr>
          <w:jc w:val="center"/>
        </w:trPr>
        <w:tc>
          <w:tcPr>
            <w:tcW w:w="5040" w:type="dxa"/>
            <w:tcMar>
              <w:top w:w="90" w:type="dxa"/>
              <w:left w:w="110" w:type="dxa"/>
              <w:bottom w:w="90" w:type="dxa"/>
              <w:right w:w="110" w:type="dxa"/>
            </w:tcMar>
            <w:vAlign w:val="center"/>
          </w:tcPr>
          <w:p w14:paraId="63DE065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2</w:t>
            </w:r>
          </w:p>
        </w:tc>
        <w:tc>
          <w:tcPr>
            <w:tcW w:w="5040" w:type="dxa"/>
            <w:tcMar>
              <w:top w:w="90" w:type="dxa"/>
              <w:left w:w="110" w:type="dxa"/>
              <w:bottom w:w="90" w:type="dxa"/>
              <w:right w:w="110" w:type="dxa"/>
            </w:tcMar>
            <w:vAlign w:val="center"/>
          </w:tcPr>
          <w:p w14:paraId="57A5E40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Ensure that all groups of learners make appropriate progress by identifying and acting on gaps in skills, progress and attainment.</w:t>
            </w:r>
            <w:r w:rsidRPr="0033669F">
              <w:rPr>
                <w:rFonts w:asciiTheme="majorHAnsi" w:hAnsiTheme="majorHAnsi" w:cstheme="majorHAnsi"/>
                <w:sz w:val="19"/>
              </w:rPr>
            </w:r>
          </w:p>
        </w:tc>
      </w:tr>
      <w:tr w:rsidR="00F860C0" w:rsidRPr="0033669F" w14:paraId="666F994E" w14:textId="77777777">
        <w:trPr>
          <w:jc w:val="center"/>
        </w:trPr>
        <w:tc>
          <w:tcPr>
            <w:tcW w:w="5040" w:type="dxa"/>
            <w:tcMar>
              <w:top w:w="90" w:type="dxa"/>
              <w:left w:w="110" w:type="dxa"/>
              <w:bottom w:w="90" w:type="dxa"/>
              <w:right w:w="110" w:type="dxa"/>
            </w:tcMar>
            <w:vAlign w:val="center"/>
          </w:tcPr>
          <w:p w14:paraId="7578BFA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3</w:t>
            </w:r>
          </w:p>
        </w:tc>
        <w:tc>
          <w:tcPr>
            <w:tcW w:w="5040" w:type="dxa"/>
            <w:tcMar>
              <w:top w:w="90" w:type="dxa"/>
              <w:left w:w="110" w:type="dxa"/>
              <w:bottom w:w="90" w:type="dxa"/>
              <w:right w:w="110" w:type="dxa"/>
            </w:tcMar>
            <w:vAlign w:val="center"/>
          </w:tcPr>
          <w:p w14:paraId="345CC7F4"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Strengthen a culture of belonging, respect and safety by preventing and challenging discrimination, harassment, stereotyping and prejudice-related bullying.</w:t>
            </w:r>
          </w:p>
        </w:tc>
      </w:tr>
      <w:tr w:rsidR="00F860C0" w:rsidRPr="0033669F" w14:paraId="1C6F12C4" w14:textId="77777777">
        <w:trPr>
          <w:jc w:val="center"/>
        </w:trPr>
        <w:tc>
          <w:tcPr>
            <w:tcW w:w="5040" w:type="dxa"/>
            <w:tcMar>
              <w:top w:w="90" w:type="dxa"/>
              <w:left w:w="110" w:type="dxa"/>
              <w:bottom w:w="90" w:type="dxa"/>
              <w:right w:w="110" w:type="dxa"/>
            </w:tcMar>
            <w:vAlign w:val="center"/>
          </w:tcPr>
          <w:p w14:paraId="625931FB"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4</w:t>
            </w:r>
          </w:p>
        </w:tc>
        <w:tc>
          <w:tcPr>
            <w:tcW w:w="5040" w:type="dxa"/>
            <w:tcMar>
              <w:top w:w="90" w:type="dxa"/>
              <w:left w:w="110" w:type="dxa"/>
              <w:bottom w:w="90" w:type="dxa"/>
              <w:right w:w="110" w:type="dxa"/>
            </w:tcMar>
            <w:vAlign w:val="center"/>
          </w:tcPr>
          <w:p w14:paraId="12DF529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Ensure equitable access and participation in all aspects of school life, including the curriculum, support, enrichment activities and learner voice, and make reasonable adjustments where necessary.</w:t>
            </w:r>
            <w:r w:rsidRPr="0033669F">
              <w:rPr>
                <w:rFonts w:asciiTheme="majorHAnsi" w:hAnsiTheme="majorHAnsi" w:cstheme="majorHAnsi"/>
                <w:sz w:val="19"/>
              </w:rPr>
            </w:r>
          </w:p>
        </w:tc>
      </w:tr>
    </w:tbl>
    <w:p w14:paraId="6C2FA25F" w14:textId="77777777" w:rsidR="00F860C0" w:rsidRPr="0033669F" w:rsidRDefault="0033669F">
      <w:pPr>
        <w:pStyle w:val="Heading1"/>
        <w:rPr>
          <w:rFonts w:cstheme="majorHAnsi"/>
        </w:rPr>
      </w:pPr>
      <w:r w:rsidRPr="0033669F">
        <w:rPr>
          <w:rFonts w:cstheme="majorHAnsi"/>
        </w:rPr>
        <w:t>6. Publication and reporting</w:t>
      </w:r>
    </w:p>
    <w:p w14:paraId="7A75070D" w14:textId="77777777" w:rsidR="00F860C0" w:rsidRPr="0033669F" w:rsidRDefault="0033669F">
      <w:pPr>
        <w:rPr>
          <w:rFonts w:asciiTheme="majorHAnsi" w:hAnsiTheme="majorHAnsi" w:cstheme="majorHAnsi"/>
        </w:rPr>
      </w:pPr>
      <w:r w:rsidRPr="0033669F">
        <w:rPr>
          <w:rFonts w:asciiTheme="majorHAnsi" w:hAnsiTheme="majorHAnsi" w:cstheme="majorHAnsi"/>
        </w:rPr>
        <w:t>The plan and action plans will be available in an accessible format through the school’s channels. Progress against the objectives will be reviewed annually and reported to the Governing Body. Data will not be published in a way that can identify individuals; in accordance with the template, counts involving fewer than five individuals will not be published.</w:t>
      </w:r>
      <w:r w:rsidRPr="0033669F">
        <w:rPr>
          <w:rFonts w:asciiTheme="majorHAnsi" w:hAnsiTheme="majorHAnsi" w:cstheme="majorHAnsi"/>
        </w:rPr>
      </w:r>
    </w:p>
    <w:p w14:paraId="769C7754" w14:textId="77777777" w:rsidR="00F860C0" w:rsidRPr="0033669F" w:rsidRDefault="0033669F">
      <w:pPr>
        <w:pStyle w:val="Heading1"/>
        <w:rPr>
          <w:rFonts w:cstheme="majorHAnsi"/>
        </w:rPr>
      </w:pPr>
      <w:r w:rsidRPr="0033669F">
        <w:rPr>
          <w:rFonts w:cstheme="majorHAnsi"/>
        </w:rPr>
        <w:t>7. Monitoring and review</w:t>
      </w:r>
    </w:p>
    <w:p w14:paraId="6B9ACA39" w14:textId="77777777" w:rsidR="00F860C0" w:rsidRPr="0033669F" w:rsidRDefault="0033669F">
      <w:pPr>
        <w:rPr>
          <w:rFonts w:asciiTheme="majorHAnsi" w:hAnsiTheme="majorHAnsi" w:cstheme="majorHAnsi"/>
        </w:rPr>
      </w:pPr>
      <w:r w:rsidRPr="0033669F">
        <w:rPr>
          <w:rFonts w:asciiTheme="majorHAnsi" w:hAnsiTheme="majorHAnsi" w:cstheme="majorHAnsi"/>
        </w:rPr>
        <w:t>Progress will be monitored through the school’s self-evaluation and quality assurance cycle, using data, stakeholder voice and evidence of action. The objectives will be reviewed at least annually to ensure that they remain relevant and responsive to new evidence. A full review of the plan will be undertaken by 2030, or earlier if there is a significant change in needs, legislation or evidence.</w:t>
      </w:r>
      <w:r w:rsidRPr="0033669F">
        <w:rPr>
          <w:rFonts w:asciiTheme="majorHAnsi" w:hAnsiTheme="majorHAnsi" w:cstheme="majorHAnsi"/>
        </w:rPr>
      </w:r>
    </w:p>
    <w:p w14:paraId="2C4CDE86" w14:textId="77777777" w:rsidR="00F860C0" w:rsidRPr="0033669F" w:rsidRDefault="0033669F">
      <w:pPr>
        <w:rPr>
          <w:rFonts w:asciiTheme="majorHAnsi" w:hAnsiTheme="majorHAnsi" w:cstheme="majorHAnsi"/>
        </w:rPr>
      </w:pPr>
      <w:r w:rsidRPr="0033669F">
        <w:rPr>
          <w:rFonts w:asciiTheme="majorHAnsi" w:hAnsiTheme="majorHAnsi" w:cstheme="majorHAnsi"/>
        </w:rPr>
        <w:br w:type="page"/>
      </w:r>
    </w:p>
    <w:p w14:paraId="1C019139" w14:textId="77777777" w:rsidR="00F860C0" w:rsidRPr="0033669F" w:rsidRDefault="0033669F">
      <w:pPr>
        <w:pStyle w:val="Heading1"/>
        <w:rPr>
          <w:rFonts w:cstheme="majorHAnsi"/>
        </w:rPr>
      </w:pPr>
      <w:r w:rsidRPr="0033669F">
        <w:rPr>
          <w:rFonts w:cstheme="majorHAnsi"/>
        </w:rPr>
        <w:t>APPENDIX 1 - Equality Objectives Action Plan</w:t>
      </w:r>
    </w:p>
    <w:p w14:paraId="032D09AF" w14:textId="77777777" w:rsidR="00F860C0" w:rsidRPr="0033669F" w:rsidRDefault="0033669F">
      <w:pPr>
        <w:pStyle w:val="Heading2"/>
        <w:rPr>
          <w:rFonts w:cstheme="majorHAnsi"/>
        </w:rPr>
      </w:pPr>
      <w:r w:rsidRPr="0033669F">
        <w:rPr>
          <w:rFonts w:cstheme="majorHAnsi"/>
        </w:rPr>
        <w:t>Equality Objective 1</w:t>
      </w:r>
    </w:p>
    <w:p w14:paraId="71D9271C" w14:textId="77777777" w:rsidR="00F860C0" w:rsidRPr="0033669F" w:rsidRDefault="0033669F">
      <w:pPr>
        <w:rPr>
          <w:rFonts w:asciiTheme="majorHAnsi" w:hAnsiTheme="majorHAnsi" w:cstheme="majorHAnsi"/>
        </w:rPr>
      </w:pPr>
      <w:r w:rsidRPr="0033669F">
        <w:rPr>
          <w:rFonts w:asciiTheme="majorHAnsi" w:hAnsiTheme="majorHAnsi" w:cstheme="majorHAnsi"/>
          <w:b/>
          <w:sz w:val="24"/>
        </w:rPr>
        <w:t>Improve equality of access to learning by reducing barriers to attendance and engagement, specifically monitoring any differences associated with protected characteristics.</w:t>
      </w:r>
      <w:r w:rsidRPr="0033669F">
        <w:rPr>
          <w:rFonts w:asciiTheme="majorHAnsi" w:hAnsiTheme="majorHAnsi" w:cstheme="majorHAnsi"/>
          <w:b/>
          <w:sz w:val="24"/>
        </w:rPr>
      </w:r>
    </w:p>
    <w:p w14:paraId="32BE4148" w14:textId="77777777" w:rsidR="00F860C0" w:rsidRPr="0033669F" w:rsidRDefault="0033669F">
      <w:pPr>
        <w:pStyle w:val="Heading3"/>
        <w:rPr>
          <w:rFonts w:cstheme="majorHAnsi"/>
        </w:rPr>
      </w:pPr>
      <w:r w:rsidRPr="0033669F">
        <w:rPr>
          <w:rFonts w:cstheme="majorHAnsi"/>
        </w:rPr>
        <w:t>Why we have chosen this as a priority</w:t>
      </w:r>
    </w:p>
    <w:p w14:paraId="47DB251F" w14:textId="77777777" w:rsidR="00F860C0" w:rsidRPr="0033669F" w:rsidRDefault="0033669F">
      <w:pPr>
        <w:rPr>
          <w:rFonts w:asciiTheme="majorHAnsi" w:hAnsiTheme="majorHAnsi" w:cstheme="majorHAnsi"/>
        </w:rPr>
      </w:pPr>
      <w:r w:rsidRPr="0033669F">
        <w:rPr>
          <w:rFonts w:asciiTheme="majorHAnsi" w:hAnsiTheme="majorHAnsi" w:cstheme="majorHAnsi"/>
        </w:rPr>
        <w:t>The 2026-27 SIP shows that attendance is a strategic priority in order to ensure equitable access to learning. The SIP identifies whole-school attendance of 90.5%, an 8 percentage-point gap between FSM and non-FSM pupils, and the need to monitor ALN and other groups. As FSM and ALN are not in themselves protected characteristics, the SEP will use this work as a basis for also monitoring differences relating to protected characteristics, particularly disability and sex, where reliable data is available.</w:t>
      </w:r>
      <w:r w:rsidRPr="0033669F">
        <w:rPr>
          <w:rFonts w:asciiTheme="majorHAnsi" w:hAnsiTheme="majorHAnsi" w:cstheme="majorHAnsi"/>
        </w:rPr>
      </w:r>
      <w:r w:rsidRPr="0033669F">
        <w:rPr>
          <w:rFonts w:asciiTheme="majorHAnsi" w:hAnsiTheme="majorHAnsi" w:cstheme="majorHAnsi"/>
        </w:rPr>
      </w:r>
    </w:p>
    <w:p w14:paraId="3D2BF86B" w14:textId="77777777" w:rsidR="00F860C0" w:rsidRPr="0033669F" w:rsidRDefault="0033669F">
      <w:pPr>
        <w:pStyle w:val="Heading3"/>
        <w:rPr>
          <w:rFonts w:cstheme="majorHAnsi"/>
        </w:rPr>
      </w:pPr>
      <w:r w:rsidRPr="0033669F">
        <w:rPr>
          <w:rFonts w:cstheme="majorHAnsi"/>
        </w:rPr>
        <w:t>How we intend to do this</w:t>
      </w:r>
    </w:p>
    <w:tbl>
      <w:tblPr>
        <w:tblStyle w:val="TableGrid"/>
        <w:tblW w:w="0" w:type="auto"/>
        <w:jc w:val="center"/>
        <w:tblLook w:val="04A0" w:firstRow="1" w:lastRow="0" w:firstColumn="1" w:lastColumn="0" w:noHBand="0" w:noVBand="1"/>
      </w:tblPr>
      <w:tblGrid>
        <w:gridCol w:w="2517"/>
        <w:gridCol w:w="2517"/>
        <w:gridCol w:w="2518"/>
        <w:gridCol w:w="2518"/>
      </w:tblGrid>
      <w:tr w:rsidR="00F860C0" w:rsidRPr="0033669F" w14:paraId="735F57B0" w14:textId="77777777">
        <w:trPr>
          <w:jc w:val="center"/>
        </w:trPr>
        <w:tc>
          <w:tcPr>
            <w:tcW w:w="2520" w:type="dxa"/>
            <w:shd w:val="clear" w:color="auto" w:fill="1F4E79"/>
            <w:tcMar>
              <w:top w:w="90" w:type="dxa"/>
              <w:left w:w="110" w:type="dxa"/>
              <w:bottom w:w="90" w:type="dxa"/>
              <w:right w:w="110" w:type="dxa"/>
            </w:tcMar>
            <w:vAlign w:val="center"/>
          </w:tcPr>
          <w:p w14:paraId="5AE5F8C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Action</w:t>
            </w:r>
          </w:p>
        </w:tc>
        <w:tc>
          <w:tcPr>
            <w:tcW w:w="2520" w:type="dxa"/>
            <w:shd w:val="clear" w:color="auto" w:fill="1F4E79"/>
            <w:tcMar>
              <w:top w:w="90" w:type="dxa"/>
              <w:left w:w="110" w:type="dxa"/>
              <w:bottom w:w="90" w:type="dxa"/>
              <w:right w:w="110" w:type="dxa"/>
            </w:tcMar>
            <w:vAlign w:val="center"/>
          </w:tcPr>
          <w:p w14:paraId="43852D2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Responsibility</w:t>
            </w:r>
            <w:r w:rsidRPr="0033669F">
              <w:rPr>
                <w:rFonts w:asciiTheme="majorHAnsi" w:hAnsiTheme="majorHAnsi" w:cstheme="majorHAnsi"/>
                <w:b/>
                <w:color w:val="FFFFFF"/>
                <w:sz w:val="19"/>
              </w:rPr>
            </w:r>
          </w:p>
        </w:tc>
        <w:tc>
          <w:tcPr>
            <w:tcW w:w="2520" w:type="dxa"/>
            <w:shd w:val="clear" w:color="auto" w:fill="1F4E79"/>
            <w:tcMar>
              <w:top w:w="90" w:type="dxa"/>
              <w:left w:w="110" w:type="dxa"/>
              <w:bottom w:w="90" w:type="dxa"/>
              <w:right w:w="110" w:type="dxa"/>
            </w:tcMar>
            <w:vAlign w:val="center"/>
          </w:tcPr>
          <w:p w14:paraId="6722029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Timescale</w:t>
            </w:r>
          </w:p>
        </w:tc>
        <w:tc>
          <w:tcPr>
            <w:tcW w:w="2520" w:type="dxa"/>
            <w:shd w:val="clear" w:color="auto" w:fill="1F4E79"/>
            <w:tcMar>
              <w:top w:w="90" w:type="dxa"/>
              <w:left w:w="110" w:type="dxa"/>
              <w:bottom w:w="90" w:type="dxa"/>
              <w:right w:w="110" w:type="dxa"/>
            </w:tcMar>
            <w:vAlign w:val="center"/>
          </w:tcPr>
          <w:p w14:paraId="1ECB2BE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 / monitoring</w:t>
            </w:r>
          </w:p>
        </w:tc>
      </w:tr>
      <w:tr w:rsidR="00F860C0" w:rsidRPr="0033669F" w14:paraId="4D450B2F" w14:textId="77777777">
        <w:trPr>
          <w:jc w:val="center"/>
        </w:trPr>
        <w:tc>
          <w:tcPr>
            <w:tcW w:w="2520" w:type="dxa"/>
            <w:tcMar>
              <w:top w:w="90" w:type="dxa"/>
              <w:left w:w="110" w:type="dxa"/>
              <w:bottom w:w="90" w:type="dxa"/>
              <w:right w:w="110" w:type="dxa"/>
            </w:tcMar>
            <w:vAlign w:val="center"/>
          </w:tcPr>
          <w:p w14:paraId="2BB3EBE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Analyse attendance weekly and termly and identify differences between relevant groups.</w:t>
            </w:r>
          </w:p>
        </w:tc>
        <w:tc>
          <w:tcPr>
            <w:tcW w:w="2520" w:type="dxa"/>
            <w:tcMar>
              <w:top w:w="90" w:type="dxa"/>
              <w:left w:w="110" w:type="dxa"/>
              <w:bottom w:w="90" w:type="dxa"/>
              <w:right w:w="110" w:type="dxa"/>
            </w:tcMar>
            <w:vAlign w:val="center"/>
          </w:tcPr>
          <w:p w14:paraId="306EE00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CK / Attendance Team</w:t>
            </w:r>
          </w:p>
        </w:tc>
        <w:tc>
          <w:tcPr>
            <w:tcW w:w="2520" w:type="dxa"/>
            <w:tcMar>
              <w:top w:w="90" w:type="dxa"/>
              <w:left w:w="110" w:type="dxa"/>
              <w:bottom w:w="90" w:type="dxa"/>
              <w:right w:w="110" w:type="dxa"/>
            </w:tcMar>
            <w:vAlign w:val="center"/>
          </w:tcPr>
          <w:p w14:paraId="28945856"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2026-30; weekly/termly</w:t>
            </w:r>
          </w:p>
        </w:tc>
        <w:tc>
          <w:tcPr>
            <w:tcW w:w="2520" w:type="dxa"/>
            <w:tcMar>
              <w:top w:w="90" w:type="dxa"/>
              <w:left w:w="110" w:type="dxa"/>
              <w:bottom w:w="90" w:type="dxa"/>
              <w:right w:w="110" w:type="dxa"/>
            </w:tcMar>
            <w:vAlign w:val="center"/>
          </w:tcPr>
          <w:p w14:paraId="5E0DAA24"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Attendance analyses; SLT reports; meeting records</w:t>
            </w:r>
          </w:p>
        </w:tc>
      </w:tr>
      <w:tr w:rsidR="00F860C0" w:rsidRPr="0033669F" w14:paraId="78EB0486" w14:textId="77777777">
        <w:trPr>
          <w:jc w:val="center"/>
        </w:trPr>
        <w:tc>
          <w:tcPr>
            <w:tcW w:w="2520" w:type="dxa"/>
            <w:tcMar>
              <w:top w:w="90" w:type="dxa"/>
              <w:left w:w="110" w:type="dxa"/>
              <w:bottom w:w="90" w:type="dxa"/>
              <w:right w:w="110" w:type="dxa"/>
            </w:tcMar>
            <w:vAlign w:val="center"/>
          </w:tcPr>
          <w:p w14:paraId="6CCAD75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Use early identification systems and personalised intervention plans for pupils at risk of persistent absence.</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3CB36F6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CK / Heads of Year / Attendance Team</w:t>
            </w:r>
          </w:p>
        </w:tc>
        <w:tc>
          <w:tcPr>
            <w:tcW w:w="2520" w:type="dxa"/>
            <w:tcMar>
              <w:top w:w="90" w:type="dxa"/>
              <w:left w:w="110" w:type="dxa"/>
              <w:bottom w:w="90" w:type="dxa"/>
              <w:right w:w="110" w:type="dxa"/>
            </w:tcMar>
            <w:vAlign w:val="center"/>
          </w:tcPr>
          <w:p w14:paraId="4AC5C41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Ongoing</w:t>
            </w:r>
          </w:p>
        </w:tc>
        <w:tc>
          <w:tcPr>
            <w:tcW w:w="2520" w:type="dxa"/>
            <w:tcMar>
              <w:top w:w="90" w:type="dxa"/>
              <w:left w:w="110" w:type="dxa"/>
              <w:bottom w:w="90" w:type="dxa"/>
              <w:right w:w="110" w:type="dxa"/>
            </w:tcMar>
            <w:vAlign w:val="center"/>
          </w:tcPr>
          <w:p w14:paraId="20019CD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Support plans; case reviews; attendance data</w:t>
            </w:r>
          </w:p>
        </w:tc>
      </w:tr>
      <w:tr w:rsidR="00F860C0" w:rsidRPr="0033669F" w14:paraId="153821CE" w14:textId="77777777">
        <w:trPr>
          <w:jc w:val="center"/>
        </w:trPr>
        <w:tc>
          <w:tcPr>
            <w:tcW w:w="2520" w:type="dxa"/>
            <w:tcMar>
              <w:top w:w="90" w:type="dxa"/>
              <w:left w:w="110" w:type="dxa"/>
              <w:bottom w:w="90" w:type="dxa"/>
              <w:right w:w="110" w:type="dxa"/>
            </w:tcMar>
            <w:vAlign w:val="center"/>
          </w:tcPr>
          <w:p w14:paraId="6B1984C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Use pupil and parent voice to understand barriers to attendance, including barriers relating to disability, wellbeing, safety or sense of belonging.</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4D06FEE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CK</w:t>
            </w:r>
          </w:p>
        </w:tc>
        <w:tc>
          <w:tcPr>
            <w:tcW w:w="2520" w:type="dxa"/>
            <w:tcMar>
              <w:top w:w="90" w:type="dxa"/>
              <w:left w:w="110" w:type="dxa"/>
              <w:bottom w:w="90" w:type="dxa"/>
              <w:right w:w="110" w:type="dxa"/>
            </w:tcMar>
            <w:vAlign w:val="center"/>
          </w:tcPr>
          <w:p w14:paraId="206D206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Termly</w:t>
            </w:r>
          </w:p>
        </w:tc>
        <w:tc>
          <w:tcPr>
            <w:tcW w:w="2520" w:type="dxa"/>
            <w:tcMar>
              <w:top w:w="90" w:type="dxa"/>
              <w:left w:w="110" w:type="dxa"/>
              <w:bottom w:w="90" w:type="dxa"/>
              <w:right w:w="110" w:type="dxa"/>
            </w:tcMar>
            <w:vAlign w:val="center"/>
          </w:tcPr>
          <w:p w14:paraId="15811CB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Questionnaires; focus groups; record of adjustments</w:t>
            </w:r>
          </w:p>
        </w:tc>
      </w:tr>
      <w:tr w:rsidR="00F860C0" w:rsidRPr="0033669F" w14:paraId="16E919CE" w14:textId="77777777">
        <w:trPr>
          <w:jc w:val="center"/>
        </w:trPr>
        <w:tc>
          <w:tcPr>
            <w:tcW w:w="2520" w:type="dxa"/>
            <w:tcMar>
              <w:top w:w="90" w:type="dxa"/>
              <w:left w:w="110" w:type="dxa"/>
              <w:bottom w:w="90" w:type="dxa"/>
              <w:right w:w="110" w:type="dxa"/>
            </w:tcMar>
            <w:vAlign w:val="center"/>
          </w:tcPr>
          <w:p w14:paraId="2575969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Review the impact of interventions on groups and refine provision.</w:t>
            </w:r>
          </w:p>
        </w:tc>
        <w:tc>
          <w:tcPr>
            <w:tcW w:w="2520" w:type="dxa"/>
            <w:tcMar>
              <w:top w:w="90" w:type="dxa"/>
              <w:left w:w="110" w:type="dxa"/>
              <w:bottom w:w="90" w:type="dxa"/>
              <w:right w:w="110" w:type="dxa"/>
            </w:tcMar>
            <w:vAlign w:val="center"/>
          </w:tcPr>
          <w:p w14:paraId="2B1E953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Governing Body</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4F4E4214"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Termly and annually</w:t>
            </w:r>
          </w:p>
        </w:tc>
        <w:tc>
          <w:tcPr>
            <w:tcW w:w="2520" w:type="dxa"/>
            <w:tcMar>
              <w:top w:w="90" w:type="dxa"/>
              <w:left w:w="110" w:type="dxa"/>
              <w:bottom w:w="90" w:type="dxa"/>
              <w:right w:w="110" w:type="dxa"/>
            </w:tcMar>
            <w:vAlign w:val="center"/>
          </w:tcPr>
          <w:p w14:paraId="0849EBD6"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SEP/SIP progress reports</w:t>
            </w:r>
          </w:p>
        </w:tc>
      </w:tr>
    </w:tbl>
    <w:p w14:paraId="078FBBFF" w14:textId="77777777" w:rsidR="00F860C0" w:rsidRPr="0033669F" w:rsidRDefault="0033669F">
      <w:pPr>
        <w:pStyle w:val="Heading3"/>
        <w:rPr>
          <w:rFonts w:cstheme="majorHAnsi"/>
        </w:rPr>
      </w:pPr>
      <w:r w:rsidRPr="0033669F">
        <w:rPr>
          <w:rFonts w:cstheme="majorHAnsi"/>
        </w:rPr>
        <w:t>Relevant protected characteristics</w:t>
      </w:r>
    </w:p>
    <w:p w14:paraId="302BD60B" w14:textId="77777777" w:rsidR="00F860C0" w:rsidRPr="0033669F" w:rsidRDefault="0033669F">
      <w:pPr>
        <w:rPr>
          <w:rFonts w:asciiTheme="majorHAnsi" w:hAnsiTheme="majorHAnsi" w:cstheme="majorHAnsi"/>
        </w:rPr>
      </w:pPr>
      <w:r w:rsidRPr="0033669F">
        <w:rPr>
          <w:rFonts w:asciiTheme="majorHAnsi" w:hAnsiTheme="majorHAnsi" w:cstheme="majorHAnsi"/>
        </w:rPr>
        <w:t>Disability; sex; race; religion or belief; gender reassignment; sexual orientation; pregnancy and maternity, where relevant and safe to monitor. FSM and ALN will also be monitored as vulnerable/contextual groups.</w:t>
      </w:r>
      <w:r w:rsidRPr="0033669F">
        <w:rPr>
          <w:rFonts w:asciiTheme="majorHAnsi" w:hAnsiTheme="majorHAnsi" w:cstheme="majorHAnsi"/>
        </w:rPr>
      </w:r>
    </w:p>
    <w:p w14:paraId="1CBF2483" w14:textId="77777777" w:rsidR="00F860C0" w:rsidRPr="0033669F" w:rsidRDefault="0033669F">
      <w:pPr>
        <w:pStyle w:val="Heading3"/>
        <w:rPr>
          <w:rFonts w:cstheme="majorHAnsi"/>
        </w:rPr>
      </w:pPr>
      <w:r w:rsidRPr="0033669F">
        <w:rPr>
          <w:rFonts w:cstheme="majorHAnsi"/>
        </w:rPr>
        <w:t>What should success look like?</w:t>
      </w:r>
    </w:p>
    <w:p w14:paraId="6BE87820"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Whole-school attendance increases from 90.5% towards at least 93% by July 2027, in line with the SIP.</w:t>
      </w:r>
    </w:p>
    <w:p w14:paraId="505548DA"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The FSM/non-FSM gap reduces from 8 percentage points to fewer than 5 by July 2027.</w:t>
      </w:r>
      <w:r w:rsidRPr="0033669F">
        <w:rPr>
          <w:rFonts w:asciiTheme="majorHAnsi" w:hAnsiTheme="majorHAnsi" w:cstheme="majorHAnsi"/>
        </w:rPr>
      </w:r>
    </w:p>
    <w:p w14:paraId="72D8BC51"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 reliable baseline for the attendance of disabled learners and relevant protected groups is established in 2026-27; any significant gaps lead to targeted action.</w:t>
      </w:r>
    </w:p>
    <w:p w14:paraId="7FBD698E"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At least 90% of pupils in the SIP survey report that they feel safe, supported and value coming to school.</w:t>
      </w:r>
      <w:r w:rsidRPr="0033669F">
        <w:rPr>
          <w:rFonts w:asciiTheme="majorHAnsi" w:hAnsiTheme="majorHAnsi" w:cstheme="majorHAnsi"/>
        </w:rPr>
      </w:r>
    </w:p>
    <w:p w14:paraId="20876FCA" w14:textId="77777777" w:rsidR="00F860C0" w:rsidRPr="0033669F" w:rsidRDefault="00F860C0">
      <w:pPr>
        <w:rPr>
          <w:rFonts w:asciiTheme="majorHAnsi" w:hAnsiTheme="majorHAnsi" w:cstheme="majorHAnsi"/>
        </w:rPr>
      </w:pPr>
    </w:p>
    <w:p w14:paraId="06D84DF6" w14:textId="77777777" w:rsidR="00F860C0" w:rsidRPr="0033669F" w:rsidRDefault="0033669F">
      <w:pPr>
        <w:pStyle w:val="Heading2"/>
        <w:rPr>
          <w:rFonts w:cstheme="majorHAnsi"/>
        </w:rPr>
      </w:pPr>
      <w:r w:rsidRPr="0033669F">
        <w:rPr>
          <w:rFonts w:cstheme="majorHAnsi"/>
        </w:rPr>
        <w:t>Equality Objective 2</w:t>
      </w:r>
    </w:p>
    <w:p w14:paraId="333384F9" w14:textId="77777777" w:rsidR="00F860C0" w:rsidRPr="0033669F" w:rsidRDefault="0033669F">
      <w:pPr>
        <w:rPr>
          <w:rFonts w:asciiTheme="majorHAnsi" w:hAnsiTheme="majorHAnsi" w:cstheme="majorHAnsi"/>
        </w:rPr>
      </w:pPr>
      <w:r w:rsidRPr="0033669F">
        <w:rPr>
          <w:rFonts w:asciiTheme="majorHAnsi" w:hAnsiTheme="majorHAnsi" w:cstheme="majorHAnsi"/>
          <w:b/>
          <w:sz w:val="24"/>
        </w:rPr>
        <w:t>Ensure that all groups of learners make appropriate progress by identifying and acting on gaps in skills, progress and attainment.</w:t>
      </w:r>
      <w:r w:rsidRPr="0033669F">
        <w:rPr>
          <w:rFonts w:asciiTheme="majorHAnsi" w:hAnsiTheme="majorHAnsi" w:cstheme="majorHAnsi"/>
          <w:b/>
          <w:sz w:val="24"/>
        </w:rPr>
      </w:r>
    </w:p>
    <w:p w14:paraId="5A811D8C" w14:textId="77777777" w:rsidR="00F860C0" w:rsidRPr="0033669F" w:rsidRDefault="0033669F">
      <w:pPr>
        <w:pStyle w:val="Heading3"/>
        <w:rPr>
          <w:rFonts w:cstheme="majorHAnsi"/>
        </w:rPr>
      </w:pPr>
      <w:r w:rsidRPr="0033669F">
        <w:rPr>
          <w:rFonts w:cstheme="majorHAnsi"/>
        </w:rPr>
        <w:t>Why we have chosen this as a priority</w:t>
      </w:r>
    </w:p>
    <w:p w14:paraId="26575C94" w14:textId="77777777" w:rsidR="00F860C0" w:rsidRPr="0033669F" w:rsidRDefault="0033669F">
      <w:pPr>
        <w:rPr>
          <w:rFonts w:asciiTheme="majorHAnsi" w:hAnsiTheme="majorHAnsi" w:cstheme="majorHAnsi"/>
        </w:rPr>
      </w:pPr>
      <w:r w:rsidRPr="0033669F">
        <w:rPr>
          <w:rFonts w:asciiTheme="majorHAnsi" w:hAnsiTheme="majorHAnsi" w:cstheme="majorHAnsi"/>
        </w:rPr>
        <w:t>The SIP identifies variation in the quality and consistency of Junior School pupils’ skills and requires analysis of the progress of specific groups, including FSM, ALN, boys/girls and MAT. The SEP will ensure that progress analysis also considers relevant protected characteristics, and that intervention follows when a significant gap emerges.</w:t>
      </w:r>
      <w:r w:rsidRPr="0033669F">
        <w:rPr>
          <w:rFonts w:asciiTheme="majorHAnsi" w:hAnsiTheme="majorHAnsi" w:cstheme="majorHAnsi"/>
        </w:rPr>
      </w:r>
    </w:p>
    <w:p w14:paraId="00874FA5" w14:textId="77777777" w:rsidR="00F860C0" w:rsidRPr="0033669F" w:rsidRDefault="0033669F">
      <w:pPr>
        <w:pStyle w:val="Heading3"/>
        <w:rPr>
          <w:rFonts w:cstheme="majorHAnsi"/>
        </w:rPr>
      </w:pPr>
      <w:r w:rsidRPr="0033669F">
        <w:rPr>
          <w:rFonts w:cstheme="majorHAnsi"/>
        </w:rPr>
        <w:t>How we intend to do this</w:t>
      </w:r>
    </w:p>
    <w:tbl>
      <w:tblPr>
        <w:tblStyle w:val="TableGrid"/>
        <w:tblW w:w="0" w:type="auto"/>
        <w:jc w:val="center"/>
        <w:tblLook w:val="04A0" w:firstRow="1" w:lastRow="0" w:firstColumn="1" w:lastColumn="0" w:noHBand="0" w:noVBand="1"/>
      </w:tblPr>
      <w:tblGrid>
        <w:gridCol w:w="2518"/>
        <w:gridCol w:w="2517"/>
        <w:gridCol w:w="2517"/>
        <w:gridCol w:w="2518"/>
      </w:tblGrid>
      <w:tr w:rsidR="00F860C0" w:rsidRPr="0033669F" w14:paraId="6A59A5AE" w14:textId="77777777">
        <w:trPr>
          <w:jc w:val="center"/>
        </w:trPr>
        <w:tc>
          <w:tcPr>
            <w:tcW w:w="2520" w:type="dxa"/>
            <w:shd w:val="clear" w:color="auto" w:fill="1F4E79"/>
            <w:tcMar>
              <w:top w:w="90" w:type="dxa"/>
              <w:left w:w="110" w:type="dxa"/>
              <w:bottom w:w="90" w:type="dxa"/>
              <w:right w:w="110" w:type="dxa"/>
            </w:tcMar>
            <w:vAlign w:val="center"/>
          </w:tcPr>
          <w:p w14:paraId="6207110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Action</w:t>
            </w:r>
          </w:p>
        </w:tc>
        <w:tc>
          <w:tcPr>
            <w:tcW w:w="2520" w:type="dxa"/>
            <w:shd w:val="clear" w:color="auto" w:fill="1F4E79"/>
            <w:tcMar>
              <w:top w:w="90" w:type="dxa"/>
              <w:left w:w="110" w:type="dxa"/>
              <w:bottom w:w="90" w:type="dxa"/>
              <w:right w:w="110" w:type="dxa"/>
            </w:tcMar>
            <w:vAlign w:val="center"/>
          </w:tcPr>
          <w:p w14:paraId="4426350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Responsibility</w:t>
            </w:r>
          </w:p>
        </w:tc>
        <w:tc>
          <w:tcPr>
            <w:tcW w:w="2520" w:type="dxa"/>
            <w:shd w:val="clear" w:color="auto" w:fill="1F4E79"/>
            <w:tcMar>
              <w:top w:w="90" w:type="dxa"/>
              <w:left w:w="110" w:type="dxa"/>
              <w:bottom w:w="90" w:type="dxa"/>
              <w:right w:w="110" w:type="dxa"/>
            </w:tcMar>
            <w:vAlign w:val="center"/>
          </w:tcPr>
          <w:p w14:paraId="08CE3FC4"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Timescale</w:t>
            </w:r>
          </w:p>
        </w:tc>
        <w:tc>
          <w:tcPr>
            <w:tcW w:w="2520" w:type="dxa"/>
            <w:shd w:val="clear" w:color="auto" w:fill="1F4E79"/>
            <w:tcMar>
              <w:top w:w="90" w:type="dxa"/>
              <w:left w:w="110" w:type="dxa"/>
              <w:bottom w:w="90" w:type="dxa"/>
              <w:right w:w="110" w:type="dxa"/>
            </w:tcMar>
            <w:vAlign w:val="center"/>
          </w:tcPr>
          <w:p w14:paraId="6B71085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 / monitoring</w:t>
            </w:r>
          </w:p>
        </w:tc>
      </w:tr>
      <w:tr w:rsidR="00F860C0" w:rsidRPr="0033669F" w14:paraId="7AAE2410" w14:textId="77777777">
        <w:trPr>
          <w:jc w:val="center"/>
        </w:trPr>
        <w:tc>
          <w:tcPr>
            <w:tcW w:w="2520" w:type="dxa"/>
            <w:tcMar>
              <w:top w:w="90" w:type="dxa"/>
              <w:left w:w="110" w:type="dxa"/>
              <w:bottom w:w="90" w:type="dxa"/>
              <w:right w:w="110" w:type="dxa"/>
            </w:tcMar>
            <w:vAlign w:val="center"/>
          </w:tcPr>
          <w:p w14:paraId="0C35E75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Analyse progress in literacy, numeracy and digital skills by group each term.</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0AF8DA5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Junior School Leader / Skills Leaders</w:t>
            </w:r>
          </w:p>
        </w:tc>
        <w:tc>
          <w:tcPr>
            <w:tcW w:w="2520" w:type="dxa"/>
            <w:tcMar>
              <w:top w:w="90" w:type="dxa"/>
              <w:left w:w="110" w:type="dxa"/>
              <w:bottom w:w="90" w:type="dxa"/>
              <w:right w:w="110" w:type="dxa"/>
            </w:tcMar>
            <w:vAlign w:val="center"/>
          </w:tcPr>
          <w:p w14:paraId="07DDC88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Termly</w:t>
            </w:r>
          </w:p>
        </w:tc>
        <w:tc>
          <w:tcPr>
            <w:tcW w:w="2520" w:type="dxa"/>
            <w:tcMar>
              <w:top w:w="90" w:type="dxa"/>
              <w:left w:w="110" w:type="dxa"/>
              <w:bottom w:w="90" w:type="dxa"/>
              <w:right w:w="110" w:type="dxa"/>
            </w:tcMar>
            <w:vAlign w:val="center"/>
          </w:tcPr>
          <w:p w14:paraId="626292F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Progress data; personalised assessments; internal assessments</w:t>
            </w:r>
          </w:p>
        </w:tc>
      </w:tr>
      <w:tr w:rsidR="00F860C0" w:rsidRPr="0033669F" w14:paraId="7EA7E431" w14:textId="77777777">
        <w:trPr>
          <w:jc w:val="center"/>
        </w:trPr>
        <w:tc>
          <w:tcPr>
            <w:tcW w:w="2520" w:type="dxa"/>
            <w:tcMar>
              <w:top w:w="90" w:type="dxa"/>
              <w:left w:w="110" w:type="dxa"/>
              <w:bottom w:w="90" w:type="dxa"/>
              <w:right w:w="110" w:type="dxa"/>
            </w:tcMar>
            <w:vAlign w:val="center"/>
          </w:tcPr>
          <w:p w14:paraId="05AA7B7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Use diagnostic assessment and targeted interventions when pupils or groups fall behind.</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784E5AD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Skills Leaders / Departments</w:t>
            </w:r>
          </w:p>
        </w:tc>
        <w:tc>
          <w:tcPr>
            <w:tcW w:w="2520" w:type="dxa"/>
            <w:tcMar>
              <w:top w:w="90" w:type="dxa"/>
              <w:left w:w="110" w:type="dxa"/>
              <w:bottom w:w="90" w:type="dxa"/>
              <w:right w:w="110" w:type="dxa"/>
            </w:tcMar>
            <w:vAlign w:val="center"/>
          </w:tcPr>
          <w:p w14:paraId="70FEE9A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Ongoing</w:t>
            </w:r>
          </w:p>
        </w:tc>
        <w:tc>
          <w:tcPr>
            <w:tcW w:w="2520" w:type="dxa"/>
            <w:tcMar>
              <w:top w:w="90" w:type="dxa"/>
              <w:left w:w="110" w:type="dxa"/>
              <w:bottom w:w="90" w:type="dxa"/>
              <w:right w:w="110" w:type="dxa"/>
            </w:tcMar>
            <w:vAlign w:val="center"/>
          </w:tcPr>
          <w:p w14:paraId="7E57857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Intervention records; progress before/after</w:t>
            </w:r>
          </w:p>
        </w:tc>
      </w:tr>
      <w:tr w:rsidR="00F860C0" w:rsidRPr="0033669F" w14:paraId="7286EBC8" w14:textId="77777777">
        <w:trPr>
          <w:jc w:val="center"/>
        </w:trPr>
        <w:tc>
          <w:tcPr>
            <w:tcW w:w="2520" w:type="dxa"/>
            <w:tcMar>
              <w:top w:w="90" w:type="dxa"/>
              <w:left w:w="110" w:type="dxa"/>
              <w:bottom w:w="90" w:type="dxa"/>
              <w:right w:w="110" w:type="dxa"/>
            </w:tcMar>
            <w:vAlign w:val="center"/>
          </w:tcPr>
          <w:p w14:paraId="09EA3466"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Ensure curriculum and teaching planning includes accessible and progressive opportunities to develop skills.</w:t>
            </w:r>
          </w:p>
        </w:tc>
        <w:tc>
          <w:tcPr>
            <w:tcW w:w="2520" w:type="dxa"/>
            <w:tcMar>
              <w:top w:w="90" w:type="dxa"/>
              <w:left w:w="110" w:type="dxa"/>
              <w:bottom w:w="90" w:type="dxa"/>
              <w:right w:w="110" w:type="dxa"/>
            </w:tcMar>
            <w:vAlign w:val="center"/>
          </w:tcPr>
          <w:p w14:paraId="78E8E59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Middle Leaders / SLT</w:t>
            </w:r>
          </w:p>
        </w:tc>
        <w:tc>
          <w:tcPr>
            <w:tcW w:w="2520" w:type="dxa"/>
            <w:tcMar>
              <w:top w:w="90" w:type="dxa"/>
              <w:left w:w="110" w:type="dxa"/>
              <w:bottom w:w="90" w:type="dxa"/>
              <w:right w:w="110" w:type="dxa"/>
            </w:tcMar>
            <w:vAlign w:val="center"/>
          </w:tcPr>
          <w:p w14:paraId="19BE0A4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2026-30</w:t>
            </w:r>
          </w:p>
        </w:tc>
        <w:tc>
          <w:tcPr>
            <w:tcW w:w="2520" w:type="dxa"/>
            <w:tcMar>
              <w:top w:w="90" w:type="dxa"/>
              <w:left w:w="110" w:type="dxa"/>
              <w:bottom w:w="90" w:type="dxa"/>
              <w:right w:w="110" w:type="dxa"/>
            </w:tcMar>
            <w:vAlign w:val="center"/>
          </w:tcPr>
          <w:p w14:paraId="2A9D605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Scrutiny of schemes of work; learning walks; observations</w:t>
            </w:r>
            <w:r w:rsidRPr="0033669F">
              <w:rPr>
                <w:rFonts w:asciiTheme="majorHAnsi" w:hAnsiTheme="majorHAnsi" w:cstheme="majorHAnsi"/>
                <w:sz w:val="19"/>
              </w:rPr>
            </w:r>
          </w:p>
        </w:tc>
      </w:tr>
      <w:tr w:rsidR="00F860C0" w:rsidRPr="0033669F" w14:paraId="6F5D94CB" w14:textId="77777777">
        <w:trPr>
          <w:jc w:val="center"/>
        </w:trPr>
        <w:tc>
          <w:tcPr>
            <w:tcW w:w="2520" w:type="dxa"/>
            <w:tcMar>
              <w:top w:w="90" w:type="dxa"/>
              <w:left w:w="110" w:type="dxa"/>
              <w:bottom w:w="90" w:type="dxa"/>
              <w:right w:w="110" w:type="dxa"/>
            </w:tcMar>
            <w:vAlign w:val="center"/>
          </w:tcPr>
          <w:p w14:paraId="3D105E9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Gather pupil voice about their learning experience and use the findings to adapt provision.</w:t>
            </w:r>
          </w:p>
        </w:tc>
        <w:tc>
          <w:tcPr>
            <w:tcW w:w="2520" w:type="dxa"/>
            <w:tcMar>
              <w:top w:w="90" w:type="dxa"/>
              <w:left w:w="110" w:type="dxa"/>
              <w:bottom w:w="90" w:type="dxa"/>
              <w:right w:w="110" w:type="dxa"/>
            </w:tcMar>
            <w:vAlign w:val="center"/>
          </w:tcPr>
          <w:p w14:paraId="380A190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Junior School Leader</w:t>
            </w:r>
          </w:p>
        </w:tc>
        <w:tc>
          <w:tcPr>
            <w:tcW w:w="2520" w:type="dxa"/>
            <w:tcMar>
              <w:top w:w="90" w:type="dxa"/>
              <w:left w:w="110" w:type="dxa"/>
              <w:bottom w:w="90" w:type="dxa"/>
              <w:right w:w="110" w:type="dxa"/>
            </w:tcMar>
            <w:vAlign w:val="center"/>
          </w:tcPr>
          <w:p w14:paraId="766F0EA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Termly</w:t>
            </w:r>
          </w:p>
        </w:tc>
        <w:tc>
          <w:tcPr>
            <w:tcW w:w="2520" w:type="dxa"/>
            <w:tcMar>
              <w:top w:w="90" w:type="dxa"/>
              <w:left w:w="110" w:type="dxa"/>
              <w:bottom w:w="90" w:type="dxa"/>
              <w:right w:w="110" w:type="dxa"/>
            </w:tcMar>
            <w:vAlign w:val="center"/>
          </w:tcPr>
          <w:p w14:paraId="1D916F0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Questionnaires; focus groups</w:t>
            </w:r>
          </w:p>
        </w:tc>
      </w:tr>
    </w:tbl>
    <w:p w14:paraId="7422187E" w14:textId="77777777" w:rsidR="00F860C0" w:rsidRPr="0033669F" w:rsidRDefault="0033669F">
      <w:pPr>
        <w:pStyle w:val="Heading3"/>
        <w:rPr>
          <w:rFonts w:cstheme="majorHAnsi"/>
        </w:rPr>
      </w:pPr>
      <w:r w:rsidRPr="0033669F">
        <w:rPr>
          <w:rFonts w:cstheme="majorHAnsi"/>
        </w:rPr>
        <w:t>Relevant protected characteristics</w:t>
      </w:r>
    </w:p>
    <w:p w14:paraId="5B129794" w14:textId="77777777" w:rsidR="00F860C0" w:rsidRPr="0033669F" w:rsidRDefault="0033669F">
      <w:pPr>
        <w:rPr>
          <w:rFonts w:asciiTheme="majorHAnsi" w:hAnsiTheme="majorHAnsi" w:cstheme="majorHAnsi"/>
        </w:rPr>
      </w:pPr>
      <w:r w:rsidRPr="0033669F">
        <w:rPr>
          <w:rFonts w:asciiTheme="majorHAnsi" w:hAnsiTheme="majorHAnsi" w:cstheme="majorHAnsi"/>
        </w:rPr>
        <w:t>Sex; disability; race; religion or belief and any other protected characteristic where the data is relevant, reliable and sufficient. FSM and ALN as additional contextual groups.</w:t>
      </w:r>
      <w:r w:rsidRPr="0033669F">
        <w:rPr>
          <w:rFonts w:asciiTheme="majorHAnsi" w:hAnsiTheme="majorHAnsi" w:cstheme="majorHAnsi"/>
        </w:rPr>
      </w:r>
    </w:p>
    <w:p w14:paraId="734DE1B4" w14:textId="77777777" w:rsidR="00F860C0" w:rsidRPr="0033669F" w:rsidRDefault="0033669F">
      <w:pPr>
        <w:pStyle w:val="Heading3"/>
        <w:rPr>
          <w:rFonts w:cstheme="majorHAnsi"/>
        </w:rPr>
      </w:pPr>
      <w:r w:rsidRPr="0033669F">
        <w:rPr>
          <w:rFonts w:cstheme="majorHAnsi"/>
        </w:rPr>
        <w:t>What should success look like?</w:t>
      </w:r>
    </w:p>
    <w:p w14:paraId="0DD8A789"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At least 90% of pupils make appropriate or better progress in their skills, in line with the SIP target.</w:t>
      </w:r>
      <w:r w:rsidRPr="0033669F">
        <w:rPr>
          <w:rFonts w:asciiTheme="majorHAnsi" w:hAnsiTheme="majorHAnsi" w:cstheme="majorHAnsi"/>
        </w:rPr>
      </w:r>
    </w:p>
    <w:p w14:paraId="4B9FF109"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At least 80% of pupils receiving interventions make measurable progress.</w:t>
      </w:r>
    </w:p>
    <w:p w14:paraId="51EEBDEF"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Termly analysis shows that gaps between groups are identified promptly and that actions are recorded.</w:t>
      </w:r>
    </w:p>
    <w:p w14:paraId="4EF96798"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Where a gap associated with a protected characteristic is identified, there is evidence of intervention and review of its impact.</w:t>
      </w:r>
      <w:r w:rsidRPr="0033669F">
        <w:rPr>
          <w:rFonts w:asciiTheme="majorHAnsi" w:hAnsiTheme="majorHAnsi" w:cstheme="majorHAnsi"/>
        </w:rPr>
      </w:r>
    </w:p>
    <w:p w14:paraId="51081007" w14:textId="77777777" w:rsidR="00F860C0" w:rsidRPr="0033669F" w:rsidRDefault="00F860C0">
      <w:pPr>
        <w:rPr>
          <w:rFonts w:asciiTheme="majorHAnsi" w:hAnsiTheme="majorHAnsi" w:cstheme="majorHAnsi"/>
        </w:rPr>
      </w:pPr>
    </w:p>
    <w:p w14:paraId="3D5BC644" w14:textId="77777777" w:rsidR="00F860C0" w:rsidRPr="0033669F" w:rsidRDefault="0033669F">
      <w:pPr>
        <w:pStyle w:val="Heading2"/>
        <w:rPr>
          <w:rFonts w:cstheme="majorHAnsi"/>
        </w:rPr>
      </w:pPr>
      <w:r w:rsidRPr="0033669F">
        <w:rPr>
          <w:rFonts w:cstheme="majorHAnsi"/>
        </w:rPr>
        <w:t>Equality Objective 3</w:t>
      </w:r>
    </w:p>
    <w:p w14:paraId="04D203DC" w14:textId="77777777" w:rsidR="00F860C0" w:rsidRPr="0033669F" w:rsidRDefault="0033669F">
      <w:pPr>
        <w:rPr>
          <w:rFonts w:asciiTheme="majorHAnsi" w:hAnsiTheme="majorHAnsi" w:cstheme="majorHAnsi"/>
        </w:rPr>
      </w:pPr>
      <w:r w:rsidRPr="0033669F">
        <w:rPr>
          <w:rFonts w:asciiTheme="majorHAnsi" w:hAnsiTheme="majorHAnsi" w:cstheme="majorHAnsi"/>
          <w:b/>
          <w:sz w:val="24"/>
        </w:rPr>
        <w:t>Strengthen a culture of belonging, respect and safety by preventing and challenging discrimination, harassment, stereotyping and prejudice-related bullying.</w:t>
      </w:r>
    </w:p>
    <w:p w14:paraId="07EACAA5" w14:textId="77777777" w:rsidR="00F860C0" w:rsidRPr="0033669F" w:rsidRDefault="0033669F">
      <w:pPr>
        <w:pStyle w:val="Heading3"/>
        <w:rPr>
          <w:rFonts w:cstheme="majorHAnsi"/>
        </w:rPr>
      </w:pPr>
      <w:r w:rsidRPr="0033669F">
        <w:rPr>
          <w:rFonts w:cstheme="majorHAnsi"/>
        </w:rPr>
        <w:t>Why we have chosen this as a priority</w:t>
      </w:r>
      <w:r w:rsidRPr="0033669F">
        <w:rPr>
          <w:rFonts w:cstheme="majorHAnsi"/>
        </w:rPr>
      </w:r>
    </w:p>
    <w:p w14:paraId="556CC680" w14:textId="77777777" w:rsidR="00F860C0" w:rsidRPr="0033669F" w:rsidRDefault="0033669F">
      <w:pPr>
        <w:rPr>
          <w:rFonts w:asciiTheme="majorHAnsi" w:hAnsiTheme="majorHAnsi" w:cstheme="majorHAnsi"/>
        </w:rPr>
      </w:pPr>
      <w:r w:rsidRPr="0033669F">
        <w:rPr>
          <w:rFonts w:asciiTheme="majorHAnsi" w:hAnsiTheme="majorHAnsi" w:cstheme="majorHAnsi"/>
        </w:rPr>
        <w:t>The school prioritises good behaviour, engagement, care, support and learner voice. The school’s equality duty also makes it essential to prevent and challenge discrimination, harassment and prejudice-related bullying and to foster good relations. The current documents do not provide a complete baseline for prejudice-related incidents; therefore establishing and using a consistent baseline will be a key step.</w:t>
      </w:r>
      <w:r w:rsidRPr="0033669F">
        <w:rPr>
          <w:rFonts w:asciiTheme="majorHAnsi" w:hAnsiTheme="majorHAnsi" w:cstheme="majorHAnsi"/>
        </w:rPr>
      </w:r>
    </w:p>
    <w:p w14:paraId="4907FCEF" w14:textId="77777777" w:rsidR="00F860C0" w:rsidRPr="0033669F" w:rsidRDefault="0033669F">
      <w:pPr>
        <w:pStyle w:val="Heading3"/>
        <w:rPr>
          <w:rFonts w:cstheme="majorHAnsi"/>
        </w:rPr>
      </w:pPr>
      <w:r w:rsidRPr="0033669F">
        <w:rPr>
          <w:rFonts w:cstheme="majorHAnsi"/>
        </w:rPr>
        <w:t>How we intend to do this</w:t>
      </w:r>
    </w:p>
    <w:tbl>
      <w:tblPr>
        <w:tblStyle w:val="TableGrid"/>
        <w:tblW w:w="0" w:type="auto"/>
        <w:jc w:val="center"/>
        <w:tblLook w:val="04A0" w:firstRow="1" w:lastRow="0" w:firstColumn="1" w:lastColumn="0" w:noHBand="0" w:noVBand="1"/>
      </w:tblPr>
      <w:tblGrid>
        <w:gridCol w:w="2518"/>
        <w:gridCol w:w="2517"/>
        <w:gridCol w:w="2517"/>
        <w:gridCol w:w="2518"/>
      </w:tblGrid>
      <w:tr w:rsidR="00F860C0" w:rsidRPr="0033669F" w14:paraId="3BEBE751" w14:textId="77777777">
        <w:trPr>
          <w:jc w:val="center"/>
        </w:trPr>
        <w:tc>
          <w:tcPr>
            <w:tcW w:w="2520" w:type="dxa"/>
            <w:shd w:val="clear" w:color="auto" w:fill="1F4E79"/>
            <w:tcMar>
              <w:top w:w="90" w:type="dxa"/>
              <w:left w:w="110" w:type="dxa"/>
              <w:bottom w:w="90" w:type="dxa"/>
              <w:right w:w="110" w:type="dxa"/>
            </w:tcMar>
            <w:vAlign w:val="center"/>
          </w:tcPr>
          <w:p w14:paraId="527F2DE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Action</w:t>
            </w:r>
          </w:p>
        </w:tc>
        <w:tc>
          <w:tcPr>
            <w:tcW w:w="2520" w:type="dxa"/>
            <w:shd w:val="clear" w:color="auto" w:fill="1F4E79"/>
            <w:tcMar>
              <w:top w:w="90" w:type="dxa"/>
              <w:left w:w="110" w:type="dxa"/>
              <w:bottom w:w="90" w:type="dxa"/>
              <w:right w:w="110" w:type="dxa"/>
            </w:tcMar>
            <w:vAlign w:val="center"/>
          </w:tcPr>
          <w:p w14:paraId="7410988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Responsibility</w:t>
            </w:r>
          </w:p>
        </w:tc>
        <w:tc>
          <w:tcPr>
            <w:tcW w:w="2520" w:type="dxa"/>
            <w:shd w:val="clear" w:color="auto" w:fill="1F4E79"/>
            <w:tcMar>
              <w:top w:w="90" w:type="dxa"/>
              <w:left w:w="110" w:type="dxa"/>
              <w:bottom w:w="90" w:type="dxa"/>
              <w:right w:w="110" w:type="dxa"/>
            </w:tcMar>
            <w:vAlign w:val="center"/>
          </w:tcPr>
          <w:p w14:paraId="3BB9952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Timescale</w:t>
            </w:r>
            <w:r w:rsidRPr="0033669F">
              <w:rPr>
                <w:rFonts w:asciiTheme="majorHAnsi" w:hAnsiTheme="majorHAnsi" w:cstheme="majorHAnsi"/>
                <w:b/>
                <w:color w:val="FFFFFF"/>
                <w:sz w:val="19"/>
              </w:rPr>
            </w:r>
          </w:p>
        </w:tc>
        <w:tc>
          <w:tcPr>
            <w:tcW w:w="2520" w:type="dxa"/>
            <w:shd w:val="clear" w:color="auto" w:fill="1F4E79"/>
            <w:tcMar>
              <w:top w:w="90" w:type="dxa"/>
              <w:left w:w="110" w:type="dxa"/>
              <w:bottom w:w="90" w:type="dxa"/>
              <w:right w:w="110" w:type="dxa"/>
            </w:tcMar>
            <w:vAlign w:val="center"/>
          </w:tcPr>
          <w:p w14:paraId="599B753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 / monitoring</w:t>
            </w:r>
          </w:p>
        </w:tc>
      </w:tr>
      <w:tr w:rsidR="00F860C0" w:rsidRPr="0033669F" w14:paraId="4E0A820F" w14:textId="77777777">
        <w:trPr>
          <w:jc w:val="center"/>
        </w:trPr>
        <w:tc>
          <w:tcPr>
            <w:tcW w:w="2520" w:type="dxa"/>
            <w:tcMar>
              <w:top w:w="90" w:type="dxa"/>
              <w:left w:w="110" w:type="dxa"/>
              <w:bottom w:w="90" w:type="dxa"/>
              <w:right w:w="110" w:type="dxa"/>
            </w:tcMar>
            <w:vAlign w:val="center"/>
          </w:tcPr>
          <w:p w14:paraId="6415D45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Ensure staff know how to identify, challenge, record and escalate discriminatory incidents and prejudice-related bullying.</w:t>
            </w:r>
          </w:p>
        </w:tc>
        <w:tc>
          <w:tcPr>
            <w:tcW w:w="2520" w:type="dxa"/>
            <w:tcMar>
              <w:top w:w="90" w:type="dxa"/>
              <w:left w:w="110" w:type="dxa"/>
              <w:bottom w:w="90" w:type="dxa"/>
              <w:right w:w="110" w:type="dxa"/>
            </w:tcMar>
            <w:vAlign w:val="center"/>
          </w:tcPr>
          <w:p w14:paraId="347FACC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Pastoral Leaders</w:t>
            </w:r>
          </w:p>
        </w:tc>
        <w:tc>
          <w:tcPr>
            <w:tcW w:w="2520" w:type="dxa"/>
            <w:tcMar>
              <w:top w:w="90" w:type="dxa"/>
              <w:left w:w="110" w:type="dxa"/>
              <w:bottom w:w="90" w:type="dxa"/>
              <w:right w:w="110" w:type="dxa"/>
            </w:tcMar>
            <w:vAlign w:val="center"/>
          </w:tcPr>
          <w:p w14:paraId="2114175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2026-27 and refreshed annually</w:t>
            </w:r>
          </w:p>
        </w:tc>
        <w:tc>
          <w:tcPr>
            <w:tcW w:w="2520" w:type="dxa"/>
            <w:tcMar>
              <w:top w:w="90" w:type="dxa"/>
              <w:left w:w="110" w:type="dxa"/>
              <w:bottom w:w="90" w:type="dxa"/>
              <w:right w:w="110" w:type="dxa"/>
            </w:tcMar>
            <w:vAlign w:val="center"/>
          </w:tcPr>
          <w:p w14:paraId="1AD08EF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Training records; sampling of incident records</w:t>
            </w:r>
            <w:r w:rsidRPr="0033669F">
              <w:rPr>
                <w:rFonts w:asciiTheme="majorHAnsi" w:hAnsiTheme="majorHAnsi" w:cstheme="majorHAnsi"/>
                <w:sz w:val="19"/>
              </w:rPr>
            </w:r>
          </w:p>
        </w:tc>
      </w:tr>
      <w:tr w:rsidR="00F860C0" w:rsidRPr="0033669F" w14:paraId="1E42A76C" w14:textId="77777777">
        <w:trPr>
          <w:jc w:val="center"/>
        </w:trPr>
        <w:tc>
          <w:tcPr>
            <w:tcW w:w="2520" w:type="dxa"/>
            <w:tcMar>
              <w:top w:w="90" w:type="dxa"/>
              <w:left w:w="110" w:type="dxa"/>
              <w:bottom w:w="90" w:type="dxa"/>
              <w:right w:w="110" w:type="dxa"/>
            </w:tcMar>
            <w:vAlign w:val="center"/>
          </w:tcPr>
          <w:p w14:paraId="042C66D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Record and analyse prejudice-related incidents, including racist incidents, and monitor patterns or recurrence.</w:t>
            </w:r>
          </w:p>
        </w:tc>
        <w:tc>
          <w:tcPr>
            <w:tcW w:w="2520" w:type="dxa"/>
            <w:tcMar>
              <w:top w:w="90" w:type="dxa"/>
              <w:left w:w="110" w:type="dxa"/>
              <w:bottom w:w="90" w:type="dxa"/>
              <w:right w:w="110" w:type="dxa"/>
            </w:tcMar>
            <w:vAlign w:val="center"/>
          </w:tcPr>
          <w:p w14:paraId="36724DC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Pastoral Leaders / SLT</w:t>
            </w:r>
          </w:p>
        </w:tc>
        <w:tc>
          <w:tcPr>
            <w:tcW w:w="2520" w:type="dxa"/>
            <w:tcMar>
              <w:top w:w="90" w:type="dxa"/>
              <w:left w:w="110" w:type="dxa"/>
              <w:bottom w:w="90" w:type="dxa"/>
              <w:right w:w="110" w:type="dxa"/>
            </w:tcMar>
            <w:vAlign w:val="center"/>
          </w:tcPr>
          <w:p w14:paraId="5A1F897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Termly</w:t>
            </w:r>
          </w:p>
        </w:tc>
        <w:tc>
          <w:tcPr>
            <w:tcW w:w="2520" w:type="dxa"/>
            <w:tcMar>
              <w:top w:w="90" w:type="dxa"/>
              <w:left w:w="110" w:type="dxa"/>
              <w:bottom w:w="90" w:type="dxa"/>
              <w:right w:w="110" w:type="dxa"/>
            </w:tcMar>
            <w:vAlign w:val="center"/>
          </w:tcPr>
          <w:p w14:paraId="06E870F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Incident log; trend analysis</w:t>
            </w:r>
          </w:p>
        </w:tc>
      </w:tr>
      <w:tr w:rsidR="00F860C0" w:rsidRPr="0033669F" w14:paraId="7A893BAB" w14:textId="77777777">
        <w:trPr>
          <w:jc w:val="center"/>
        </w:trPr>
        <w:tc>
          <w:tcPr>
            <w:tcW w:w="2520" w:type="dxa"/>
            <w:tcMar>
              <w:top w:w="90" w:type="dxa"/>
              <w:left w:w="110" w:type="dxa"/>
              <w:bottom w:w="90" w:type="dxa"/>
              <w:right w:w="110" w:type="dxa"/>
            </w:tcMar>
            <w:vAlign w:val="center"/>
          </w:tcPr>
          <w:p w14:paraId="7E1D9F1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Use the curriculum, pastoral time and whole-school activities to promote respect, diversity and positive relationships.</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516D32C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Curriculum / Pastoral Leaders</w:t>
            </w:r>
          </w:p>
        </w:tc>
        <w:tc>
          <w:tcPr>
            <w:tcW w:w="2520" w:type="dxa"/>
            <w:tcMar>
              <w:top w:w="90" w:type="dxa"/>
              <w:left w:w="110" w:type="dxa"/>
              <w:bottom w:w="90" w:type="dxa"/>
              <w:right w:w="110" w:type="dxa"/>
            </w:tcMar>
            <w:vAlign w:val="center"/>
          </w:tcPr>
          <w:p w14:paraId="6542258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Ongoing</w:t>
            </w:r>
          </w:p>
        </w:tc>
        <w:tc>
          <w:tcPr>
            <w:tcW w:w="2520" w:type="dxa"/>
            <w:tcMar>
              <w:top w:w="90" w:type="dxa"/>
              <w:left w:w="110" w:type="dxa"/>
              <w:bottom w:w="90" w:type="dxa"/>
              <w:right w:w="110" w:type="dxa"/>
            </w:tcMar>
            <w:vAlign w:val="center"/>
          </w:tcPr>
          <w:p w14:paraId="35A79EF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Curriculum scrutiny; pupil voice</w:t>
            </w:r>
          </w:p>
        </w:tc>
      </w:tr>
      <w:tr w:rsidR="00F860C0" w:rsidRPr="0033669F" w14:paraId="3799A893" w14:textId="77777777">
        <w:trPr>
          <w:jc w:val="center"/>
        </w:trPr>
        <w:tc>
          <w:tcPr>
            <w:tcW w:w="2520" w:type="dxa"/>
            <w:tcMar>
              <w:top w:w="90" w:type="dxa"/>
              <w:left w:w="110" w:type="dxa"/>
              <w:bottom w:w="90" w:type="dxa"/>
              <w:right w:w="110" w:type="dxa"/>
            </w:tcMar>
            <w:vAlign w:val="center"/>
          </w:tcPr>
          <w:p w14:paraId="7DC3113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Include questions about safety, belonging, respect and experience of discrimination in pupil voice.</w:t>
            </w:r>
          </w:p>
        </w:tc>
        <w:tc>
          <w:tcPr>
            <w:tcW w:w="2520" w:type="dxa"/>
            <w:tcMar>
              <w:top w:w="90" w:type="dxa"/>
              <w:left w:w="110" w:type="dxa"/>
              <w:bottom w:w="90" w:type="dxa"/>
              <w:right w:w="110" w:type="dxa"/>
            </w:tcMar>
            <w:vAlign w:val="center"/>
          </w:tcPr>
          <w:p w14:paraId="3F77919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w:t>
            </w:r>
          </w:p>
        </w:tc>
        <w:tc>
          <w:tcPr>
            <w:tcW w:w="2520" w:type="dxa"/>
            <w:tcMar>
              <w:top w:w="90" w:type="dxa"/>
              <w:left w:w="110" w:type="dxa"/>
              <w:bottom w:w="90" w:type="dxa"/>
              <w:right w:w="110" w:type="dxa"/>
            </w:tcMar>
            <w:vAlign w:val="center"/>
          </w:tcPr>
          <w:p w14:paraId="6919336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At least annually</w:t>
            </w:r>
          </w:p>
        </w:tc>
        <w:tc>
          <w:tcPr>
            <w:tcW w:w="2520" w:type="dxa"/>
            <w:tcMar>
              <w:top w:w="90" w:type="dxa"/>
              <w:left w:w="110" w:type="dxa"/>
              <w:bottom w:w="90" w:type="dxa"/>
              <w:right w:w="110" w:type="dxa"/>
            </w:tcMar>
            <w:vAlign w:val="center"/>
          </w:tcPr>
          <w:p w14:paraId="06D5152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Surveys; focus groups; follow-up actions</w:t>
            </w:r>
          </w:p>
        </w:tc>
      </w:tr>
    </w:tbl>
    <w:p w14:paraId="1CE4F1B6" w14:textId="77777777" w:rsidR="00F860C0" w:rsidRPr="0033669F" w:rsidRDefault="0033669F">
      <w:pPr>
        <w:pStyle w:val="Heading3"/>
        <w:rPr>
          <w:rFonts w:cstheme="majorHAnsi"/>
        </w:rPr>
      </w:pPr>
      <w:r w:rsidRPr="0033669F">
        <w:rPr>
          <w:rFonts w:cstheme="majorHAnsi"/>
        </w:rPr>
        <w:t>Relevant protected characteristics</w:t>
      </w:r>
    </w:p>
    <w:p w14:paraId="16199296" w14:textId="77777777" w:rsidR="00F860C0" w:rsidRPr="0033669F" w:rsidRDefault="0033669F">
      <w:pPr>
        <w:rPr>
          <w:rFonts w:asciiTheme="majorHAnsi" w:hAnsiTheme="majorHAnsi" w:cstheme="majorHAnsi"/>
        </w:rPr>
      </w:pPr>
      <w:r w:rsidRPr="0033669F">
        <w:rPr>
          <w:rFonts w:asciiTheme="majorHAnsi" w:hAnsiTheme="majorHAnsi" w:cstheme="majorHAnsi"/>
        </w:rPr>
        <w:t>All relevant protected characteristics, particularly race, disability, sex, religion or belief, sexual orientation and gender reassignment.</w:t>
      </w:r>
    </w:p>
    <w:p w14:paraId="6E193232" w14:textId="77777777" w:rsidR="00F860C0" w:rsidRPr="0033669F" w:rsidRDefault="0033669F">
      <w:pPr>
        <w:pStyle w:val="Heading3"/>
        <w:rPr>
          <w:rFonts w:cstheme="majorHAnsi"/>
        </w:rPr>
      </w:pPr>
      <w:r w:rsidRPr="0033669F">
        <w:rPr>
          <w:rFonts w:cstheme="majorHAnsi"/>
        </w:rPr>
        <w:t>What should success look like?</w:t>
      </w:r>
      <w:r w:rsidRPr="0033669F">
        <w:rPr>
          <w:rFonts w:cstheme="majorHAnsi"/>
        </w:rPr>
      </w:r>
    </w:p>
    <w:p w14:paraId="57A7A0B9"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100% of identified serious prejudice-related incidents are recorded, investigated and followed up in accordance with school procedures.</w:t>
      </w:r>
    </w:p>
    <w:p w14:paraId="54CDBD16"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An annual report identifies trends, actions and impact without publishing small identifiable numbers.</w:t>
      </w:r>
    </w:p>
    <w:p w14:paraId="73DBD3B3"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Pupil voice shows a high level of safety and belonging, with targeted action where a group’s experience is less positive.</w:t>
      </w:r>
      <w:r w:rsidRPr="0033669F">
        <w:rPr>
          <w:rFonts w:asciiTheme="majorHAnsi" w:hAnsiTheme="majorHAnsi" w:cstheme="majorHAnsi"/>
        </w:rPr>
      </w:r>
    </w:p>
    <w:p w14:paraId="53556AA5"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Evidence in the curriculum and pastoral provision of challenging stereotypes and promoting respect for diversity.</w:t>
      </w:r>
    </w:p>
    <w:p w14:paraId="0EE91615" w14:textId="77777777" w:rsidR="00F860C0" w:rsidRPr="0033669F" w:rsidRDefault="00F860C0">
      <w:pPr>
        <w:rPr>
          <w:rFonts w:asciiTheme="majorHAnsi" w:hAnsiTheme="majorHAnsi" w:cstheme="majorHAnsi"/>
        </w:rPr>
      </w:pPr>
    </w:p>
    <w:p w14:paraId="1F00EAD0" w14:textId="77777777" w:rsidR="00F860C0" w:rsidRPr="0033669F" w:rsidRDefault="0033669F">
      <w:pPr>
        <w:pStyle w:val="Heading2"/>
        <w:rPr>
          <w:rFonts w:cstheme="majorHAnsi"/>
        </w:rPr>
      </w:pPr>
      <w:r w:rsidRPr="0033669F">
        <w:rPr>
          <w:rFonts w:cstheme="majorHAnsi"/>
        </w:rPr>
        <w:t>Equality Objective 4</w:t>
      </w:r>
    </w:p>
    <w:p w14:paraId="013CF679" w14:textId="77777777" w:rsidR="00F860C0" w:rsidRPr="0033669F" w:rsidRDefault="0033669F">
      <w:pPr>
        <w:rPr>
          <w:rFonts w:asciiTheme="majorHAnsi" w:hAnsiTheme="majorHAnsi" w:cstheme="majorHAnsi"/>
        </w:rPr>
      </w:pPr>
      <w:r w:rsidRPr="0033669F">
        <w:rPr>
          <w:rFonts w:asciiTheme="majorHAnsi" w:hAnsiTheme="majorHAnsi" w:cstheme="majorHAnsi"/>
          <w:b/>
          <w:sz w:val="24"/>
        </w:rPr>
        <w:t>Ensure equitable access and participation in all aspects of school life, including the curriculum, support, enrichment activities and learner voice, and make reasonable adjustments where necessary.</w:t>
      </w:r>
      <w:r w:rsidRPr="0033669F">
        <w:rPr>
          <w:rFonts w:asciiTheme="majorHAnsi" w:hAnsiTheme="majorHAnsi" w:cstheme="majorHAnsi"/>
          <w:b/>
          <w:sz w:val="24"/>
        </w:rPr>
      </w:r>
    </w:p>
    <w:p w14:paraId="1AC82952" w14:textId="77777777" w:rsidR="00F860C0" w:rsidRPr="0033669F" w:rsidRDefault="0033669F">
      <w:pPr>
        <w:pStyle w:val="Heading3"/>
        <w:rPr>
          <w:rFonts w:cstheme="majorHAnsi"/>
        </w:rPr>
      </w:pPr>
      <w:r w:rsidRPr="0033669F">
        <w:rPr>
          <w:rFonts w:cstheme="majorHAnsi"/>
        </w:rPr>
        <w:t>Why we have chosen this as a priority</w:t>
      </w:r>
    </w:p>
    <w:p w14:paraId="0BE5EC76" w14:textId="77777777" w:rsidR="00F860C0" w:rsidRPr="0033669F" w:rsidRDefault="0033669F">
      <w:pPr>
        <w:rPr>
          <w:rFonts w:asciiTheme="majorHAnsi" w:hAnsiTheme="majorHAnsi" w:cstheme="majorHAnsi"/>
        </w:rPr>
      </w:pPr>
      <w:r w:rsidRPr="0033669F">
        <w:rPr>
          <w:rFonts w:asciiTheme="majorHAnsi" w:hAnsiTheme="majorHAnsi" w:cstheme="majorHAnsi"/>
        </w:rPr>
        <w:t>The SIP commits to a broad and balanced curriculum, care and support that meet learners’ needs, responding to ALN requirements and developing learner voice. This objective ensures that this work is evaluated from the perspective of equality, accessibility and participation.</w:t>
      </w:r>
      <w:r w:rsidRPr="0033669F">
        <w:rPr>
          <w:rFonts w:asciiTheme="majorHAnsi" w:hAnsiTheme="majorHAnsi" w:cstheme="majorHAnsi"/>
        </w:rPr>
      </w:r>
    </w:p>
    <w:p w14:paraId="0EAD164B" w14:textId="77777777" w:rsidR="00F860C0" w:rsidRPr="0033669F" w:rsidRDefault="0033669F">
      <w:pPr>
        <w:pStyle w:val="Heading3"/>
        <w:rPr>
          <w:rFonts w:cstheme="majorHAnsi"/>
        </w:rPr>
      </w:pPr>
      <w:r w:rsidRPr="0033669F">
        <w:rPr>
          <w:rFonts w:cstheme="majorHAnsi"/>
        </w:rPr>
        <w:t>How we intend to do this</w:t>
      </w:r>
    </w:p>
    <w:tbl>
      <w:tblPr>
        <w:tblStyle w:val="TableGrid"/>
        <w:tblW w:w="0" w:type="auto"/>
        <w:jc w:val="center"/>
        <w:tblLook w:val="04A0" w:firstRow="1" w:lastRow="0" w:firstColumn="1" w:lastColumn="0" w:noHBand="0" w:noVBand="1"/>
      </w:tblPr>
      <w:tblGrid>
        <w:gridCol w:w="2517"/>
        <w:gridCol w:w="2518"/>
        <w:gridCol w:w="2517"/>
        <w:gridCol w:w="2518"/>
      </w:tblGrid>
      <w:tr w:rsidR="00F860C0" w:rsidRPr="0033669F" w14:paraId="26CA03F8" w14:textId="77777777">
        <w:trPr>
          <w:jc w:val="center"/>
        </w:trPr>
        <w:tc>
          <w:tcPr>
            <w:tcW w:w="2520" w:type="dxa"/>
            <w:shd w:val="clear" w:color="auto" w:fill="1F4E79"/>
            <w:tcMar>
              <w:top w:w="90" w:type="dxa"/>
              <w:left w:w="110" w:type="dxa"/>
              <w:bottom w:w="90" w:type="dxa"/>
              <w:right w:w="110" w:type="dxa"/>
            </w:tcMar>
            <w:vAlign w:val="center"/>
          </w:tcPr>
          <w:p w14:paraId="213CE58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Action</w:t>
            </w:r>
            <w:r w:rsidRPr="0033669F">
              <w:rPr>
                <w:rFonts w:asciiTheme="majorHAnsi" w:hAnsiTheme="majorHAnsi" w:cstheme="majorHAnsi"/>
                <w:b/>
                <w:color w:val="FFFFFF"/>
                <w:sz w:val="19"/>
              </w:rPr>
            </w:r>
          </w:p>
        </w:tc>
        <w:tc>
          <w:tcPr>
            <w:tcW w:w="2520" w:type="dxa"/>
            <w:shd w:val="clear" w:color="auto" w:fill="1F4E79"/>
            <w:tcMar>
              <w:top w:w="90" w:type="dxa"/>
              <w:left w:w="110" w:type="dxa"/>
              <w:bottom w:w="90" w:type="dxa"/>
              <w:right w:w="110" w:type="dxa"/>
            </w:tcMar>
            <w:vAlign w:val="center"/>
          </w:tcPr>
          <w:p w14:paraId="383EE0B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Responsibility</w:t>
            </w:r>
          </w:p>
        </w:tc>
        <w:tc>
          <w:tcPr>
            <w:tcW w:w="2520" w:type="dxa"/>
            <w:shd w:val="clear" w:color="auto" w:fill="1F4E79"/>
            <w:tcMar>
              <w:top w:w="90" w:type="dxa"/>
              <w:left w:w="110" w:type="dxa"/>
              <w:bottom w:w="90" w:type="dxa"/>
              <w:right w:w="110" w:type="dxa"/>
            </w:tcMar>
            <w:vAlign w:val="center"/>
          </w:tcPr>
          <w:p w14:paraId="5F3FE58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Timescale</w:t>
            </w:r>
          </w:p>
        </w:tc>
        <w:tc>
          <w:tcPr>
            <w:tcW w:w="2520" w:type="dxa"/>
            <w:shd w:val="clear" w:color="auto" w:fill="1F4E79"/>
            <w:tcMar>
              <w:top w:w="90" w:type="dxa"/>
              <w:left w:w="110" w:type="dxa"/>
              <w:bottom w:w="90" w:type="dxa"/>
              <w:right w:w="110" w:type="dxa"/>
            </w:tcMar>
            <w:vAlign w:val="center"/>
          </w:tcPr>
          <w:p w14:paraId="31550C6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 / monitoring</w:t>
            </w:r>
          </w:p>
        </w:tc>
      </w:tr>
      <w:tr w:rsidR="00F860C0" w:rsidRPr="0033669F" w14:paraId="692CC4D8" w14:textId="77777777">
        <w:trPr>
          <w:jc w:val="center"/>
        </w:trPr>
        <w:tc>
          <w:tcPr>
            <w:tcW w:w="2520" w:type="dxa"/>
            <w:tcMar>
              <w:top w:w="90" w:type="dxa"/>
              <w:left w:w="110" w:type="dxa"/>
              <w:bottom w:w="90" w:type="dxa"/>
              <w:right w:w="110" w:type="dxa"/>
            </w:tcMar>
            <w:vAlign w:val="center"/>
          </w:tcPr>
          <w:p w14:paraId="2F07032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Review access to options, interventions, trips, clubs, sport, leadership and enrichment activities by group where data is available.</w:t>
            </w:r>
          </w:p>
        </w:tc>
        <w:tc>
          <w:tcPr>
            <w:tcW w:w="2520" w:type="dxa"/>
            <w:tcMar>
              <w:top w:w="90" w:type="dxa"/>
              <w:left w:w="110" w:type="dxa"/>
              <w:bottom w:w="90" w:type="dxa"/>
              <w:right w:w="110" w:type="dxa"/>
            </w:tcMar>
            <w:vAlign w:val="center"/>
          </w:tcPr>
          <w:p w14:paraId="3B11DD7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Relevant Leaders</w:t>
            </w:r>
          </w:p>
        </w:tc>
        <w:tc>
          <w:tcPr>
            <w:tcW w:w="2520" w:type="dxa"/>
            <w:tcMar>
              <w:top w:w="90" w:type="dxa"/>
              <w:left w:w="110" w:type="dxa"/>
              <w:bottom w:w="90" w:type="dxa"/>
              <w:right w:w="110" w:type="dxa"/>
            </w:tcMar>
            <w:vAlign w:val="center"/>
          </w:tcPr>
          <w:p w14:paraId="376B063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Annually</w:t>
            </w:r>
          </w:p>
        </w:tc>
        <w:tc>
          <w:tcPr>
            <w:tcW w:w="2520" w:type="dxa"/>
            <w:tcMar>
              <w:top w:w="90" w:type="dxa"/>
              <w:left w:w="110" w:type="dxa"/>
              <w:bottom w:w="90" w:type="dxa"/>
              <w:right w:w="110" w:type="dxa"/>
            </w:tcMar>
            <w:vAlign w:val="center"/>
          </w:tcPr>
          <w:p w14:paraId="1FD929F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Participation data; option records; pupil voice</w:t>
            </w:r>
            <w:r w:rsidRPr="0033669F">
              <w:rPr>
                <w:rFonts w:asciiTheme="majorHAnsi" w:hAnsiTheme="majorHAnsi" w:cstheme="majorHAnsi"/>
                <w:sz w:val="19"/>
              </w:rPr>
            </w:r>
          </w:p>
        </w:tc>
      </w:tr>
      <w:tr w:rsidR="00F860C0" w:rsidRPr="0033669F" w14:paraId="07ED30AC" w14:textId="77777777">
        <w:trPr>
          <w:jc w:val="center"/>
        </w:trPr>
        <w:tc>
          <w:tcPr>
            <w:tcW w:w="2520" w:type="dxa"/>
            <w:tcMar>
              <w:top w:w="90" w:type="dxa"/>
              <w:left w:w="110" w:type="dxa"/>
              <w:bottom w:w="90" w:type="dxa"/>
              <w:right w:w="110" w:type="dxa"/>
            </w:tcMar>
            <w:vAlign w:val="center"/>
          </w:tcPr>
          <w:p w14:paraId="75888EE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Ensure reasonable adjustments are planned, recorded and reviewed for disabled pupils and those requiring access support.</w:t>
            </w:r>
          </w:p>
        </w:tc>
        <w:tc>
          <w:tcPr>
            <w:tcW w:w="2520" w:type="dxa"/>
            <w:tcMar>
              <w:top w:w="90" w:type="dxa"/>
              <w:left w:w="110" w:type="dxa"/>
              <w:bottom w:w="90" w:type="dxa"/>
              <w:right w:w="110" w:type="dxa"/>
            </w:tcMar>
            <w:vAlign w:val="center"/>
          </w:tcPr>
          <w:p w14:paraId="12DFE8A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ALNCo / SLT / Relevant Staff</w:t>
            </w:r>
          </w:p>
        </w:tc>
        <w:tc>
          <w:tcPr>
            <w:tcW w:w="2520" w:type="dxa"/>
            <w:tcMar>
              <w:top w:w="90" w:type="dxa"/>
              <w:left w:w="110" w:type="dxa"/>
              <w:bottom w:w="90" w:type="dxa"/>
              <w:right w:w="110" w:type="dxa"/>
            </w:tcMar>
            <w:vAlign w:val="center"/>
          </w:tcPr>
          <w:p w14:paraId="32EC036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Ongoing</w:t>
            </w:r>
          </w:p>
        </w:tc>
        <w:tc>
          <w:tcPr>
            <w:tcW w:w="2520" w:type="dxa"/>
            <w:tcMar>
              <w:top w:w="90" w:type="dxa"/>
              <w:left w:w="110" w:type="dxa"/>
              <w:bottom w:w="90" w:type="dxa"/>
              <w:right w:w="110" w:type="dxa"/>
            </w:tcMar>
            <w:vAlign w:val="center"/>
          </w:tcPr>
          <w:p w14:paraId="234ACED3"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Individual plans; reviews; family feedback</w:t>
            </w:r>
            <w:r w:rsidRPr="0033669F">
              <w:rPr>
                <w:rFonts w:asciiTheme="majorHAnsi" w:hAnsiTheme="majorHAnsi" w:cstheme="majorHAnsi"/>
                <w:sz w:val="19"/>
              </w:rPr>
            </w:r>
          </w:p>
        </w:tc>
      </w:tr>
      <w:tr w:rsidR="00F860C0" w:rsidRPr="0033669F" w14:paraId="425A22E4" w14:textId="77777777">
        <w:trPr>
          <w:jc w:val="center"/>
        </w:trPr>
        <w:tc>
          <w:tcPr>
            <w:tcW w:w="2520" w:type="dxa"/>
            <w:tcMar>
              <w:top w:w="90" w:type="dxa"/>
              <w:left w:w="110" w:type="dxa"/>
              <w:bottom w:w="90" w:type="dxa"/>
              <w:right w:w="110" w:type="dxa"/>
            </w:tcMar>
            <w:vAlign w:val="center"/>
          </w:tcPr>
          <w:p w14:paraId="3170FCEB"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Review the accessibility of communication with pupils and families, considering language, format, communication needs and digital access.</w:t>
            </w:r>
          </w:p>
        </w:tc>
        <w:tc>
          <w:tcPr>
            <w:tcW w:w="2520" w:type="dxa"/>
            <w:tcMar>
              <w:top w:w="90" w:type="dxa"/>
              <w:left w:w="110" w:type="dxa"/>
              <w:bottom w:w="90" w:type="dxa"/>
              <w:right w:w="110" w:type="dxa"/>
            </w:tcMar>
            <w:vAlign w:val="center"/>
          </w:tcPr>
          <w:p w14:paraId="56A3935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Administration</w:t>
            </w:r>
          </w:p>
        </w:tc>
        <w:tc>
          <w:tcPr>
            <w:tcW w:w="2520" w:type="dxa"/>
            <w:tcMar>
              <w:top w:w="90" w:type="dxa"/>
              <w:left w:w="110" w:type="dxa"/>
              <w:bottom w:w="90" w:type="dxa"/>
              <w:right w:w="110" w:type="dxa"/>
            </w:tcMar>
            <w:vAlign w:val="center"/>
          </w:tcPr>
          <w:p w14:paraId="5C57835C"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Annually</w:t>
            </w:r>
          </w:p>
        </w:tc>
        <w:tc>
          <w:tcPr>
            <w:tcW w:w="2520" w:type="dxa"/>
            <w:tcMar>
              <w:top w:w="90" w:type="dxa"/>
              <w:left w:w="110" w:type="dxa"/>
              <w:bottom w:w="90" w:type="dxa"/>
              <w:right w:w="110" w:type="dxa"/>
            </w:tcMar>
            <w:vAlign w:val="center"/>
          </w:tcPr>
          <w:p w14:paraId="245740B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Sampling of communications; parent feedback</w:t>
            </w:r>
          </w:p>
        </w:tc>
      </w:tr>
      <w:tr w:rsidR="00F860C0" w:rsidRPr="0033669F" w14:paraId="197895F2" w14:textId="77777777">
        <w:trPr>
          <w:jc w:val="center"/>
        </w:trPr>
        <w:tc>
          <w:tcPr>
            <w:tcW w:w="2520" w:type="dxa"/>
            <w:tcMar>
              <w:top w:w="90" w:type="dxa"/>
              <w:left w:w="110" w:type="dxa"/>
              <w:bottom w:w="90" w:type="dxa"/>
              <w:right w:w="110" w:type="dxa"/>
            </w:tcMar>
            <w:vAlign w:val="center"/>
          </w:tcPr>
          <w:p w14:paraId="16F95514"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Expand voice opportunities so that groups at risk of under-representation can influence provision.</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7641A85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SLT / Learner Voice Leaders</w:t>
            </w:r>
          </w:p>
        </w:tc>
        <w:tc>
          <w:tcPr>
            <w:tcW w:w="2520" w:type="dxa"/>
            <w:tcMar>
              <w:top w:w="90" w:type="dxa"/>
              <w:left w:w="110" w:type="dxa"/>
              <w:bottom w:w="90" w:type="dxa"/>
              <w:right w:w="110" w:type="dxa"/>
            </w:tcMar>
            <w:vAlign w:val="center"/>
          </w:tcPr>
          <w:p w14:paraId="4FE42E21"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2026-30</w:t>
            </w:r>
          </w:p>
        </w:tc>
        <w:tc>
          <w:tcPr>
            <w:tcW w:w="2520" w:type="dxa"/>
            <w:tcMar>
              <w:top w:w="90" w:type="dxa"/>
              <w:left w:w="110" w:type="dxa"/>
              <w:bottom w:w="90" w:type="dxa"/>
              <w:right w:w="110" w:type="dxa"/>
            </w:tcMar>
            <w:vAlign w:val="center"/>
          </w:tcPr>
          <w:p w14:paraId="7FCA930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School council/focus group records; changes to provision</w:t>
            </w:r>
          </w:p>
        </w:tc>
      </w:tr>
    </w:tbl>
    <w:p w14:paraId="421D232E" w14:textId="77777777" w:rsidR="00F860C0" w:rsidRPr="0033669F" w:rsidRDefault="0033669F">
      <w:pPr>
        <w:pStyle w:val="Heading3"/>
        <w:rPr>
          <w:rFonts w:cstheme="majorHAnsi"/>
        </w:rPr>
      </w:pPr>
      <w:r w:rsidRPr="0033669F">
        <w:rPr>
          <w:rFonts w:cstheme="majorHAnsi"/>
        </w:rPr>
        <w:t>Relevant protected characteristics</w:t>
      </w:r>
    </w:p>
    <w:p w14:paraId="72DB7360" w14:textId="77777777" w:rsidR="00F860C0" w:rsidRPr="0033669F" w:rsidRDefault="0033669F">
      <w:pPr>
        <w:rPr>
          <w:rFonts w:asciiTheme="majorHAnsi" w:hAnsiTheme="majorHAnsi" w:cstheme="majorHAnsi"/>
        </w:rPr>
      </w:pPr>
      <w:r w:rsidRPr="0033669F">
        <w:rPr>
          <w:rFonts w:asciiTheme="majorHAnsi" w:hAnsiTheme="majorHAnsi" w:cstheme="majorHAnsi"/>
        </w:rPr>
        <w:t>Disability specifically; also sex, race, religion or belief, sexual orientation, gender reassignment, pregnancy and maternity, and any other relevant characteristic.</w:t>
      </w:r>
      <w:r w:rsidRPr="0033669F">
        <w:rPr>
          <w:rFonts w:asciiTheme="majorHAnsi" w:hAnsiTheme="majorHAnsi" w:cstheme="majorHAnsi"/>
        </w:rPr>
      </w:r>
    </w:p>
    <w:p w14:paraId="67E617A5" w14:textId="77777777" w:rsidR="00F860C0" w:rsidRPr="0033669F" w:rsidRDefault="0033669F">
      <w:pPr>
        <w:pStyle w:val="Heading3"/>
        <w:rPr>
          <w:rFonts w:cstheme="majorHAnsi"/>
        </w:rPr>
      </w:pPr>
      <w:r w:rsidRPr="0033669F">
        <w:rPr>
          <w:rFonts w:cstheme="majorHAnsi"/>
        </w:rPr>
        <w:t>What should success look like?</w:t>
      </w:r>
    </w:p>
    <w:p w14:paraId="0125F2D5"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No identified barrier to participation is left without appropriate assessment and action.</w:t>
      </w:r>
    </w:p>
    <w:p w14:paraId="27E17959"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Evidence that reasonable adjustments are implemented and reviewed for impact.</w:t>
      </w:r>
      <w:r w:rsidRPr="0033669F">
        <w:rPr>
          <w:rFonts w:asciiTheme="majorHAnsi" w:hAnsiTheme="majorHAnsi" w:cstheme="majorHAnsi"/>
        </w:rPr>
      </w:r>
    </w:p>
    <w:p w14:paraId="0FF90601"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Annual analysis of participation identifies any under-representation and records actions to reduce it.</w:t>
      </w:r>
    </w:p>
    <w:p w14:paraId="5F681BF5" w14:textId="77777777" w:rsidR="00F860C0" w:rsidRPr="0033669F" w:rsidRDefault="0033669F">
      <w:pPr>
        <w:pStyle w:val="ListBullet"/>
        <w:rPr>
          <w:rFonts w:asciiTheme="majorHAnsi" w:hAnsiTheme="majorHAnsi" w:cstheme="majorHAnsi"/>
        </w:rPr>
      </w:pPr>
      <w:r w:rsidRPr="0033669F">
        <w:rPr>
          <w:rFonts w:asciiTheme="majorHAnsi" w:hAnsiTheme="majorHAnsi" w:cstheme="majorHAnsi"/>
        </w:rPr>
        <w:t>Pupil and parent voice shows that communication, support and opportunities to participate are accessible and inclusive.</w:t>
      </w:r>
      <w:r w:rsidRPr="0033669F">
        <w:rPr>
          <w:rFonts w:asciiTheme="majorHAnsi" w:hAnsiTheme="majorHAnsi" w:cstheme="majorHAnsi"/>
        </w:rPr>
      </w:r>
    </w:p>
    <w:p w14:paraId="3805620E" w14:textId="77777777" w:rsidR="00F860C0" w:rsidRPr="0033669F" w:rsidRDefault="00F860C0">
      <w:pPr>
        <w:rPr>
          <w:rFonts w:asciiTheme="majorHAnsi" w:hAnsiTheme="majorHAnsi" w:cstheme="majorHAnsi"/>
        </w:rPr>
      </w:pPr>
    </w:p>
    <w:p w14:paraId="3915E92E" w14:textId="73F83796" w:rsidR="00F860C0" w:rsidRPr="0033669F" w:rsidRDefault="0033669F" w:rsidP="0033669F">
      <w:pPr>
        <w:rPr>
          <w:rFonts w:asciiTheme="majorHAnsi" w:hAnsiTheme="majorHAnsi" w:cstheme="majorHAnsi"/>
        </w:rPr>
      </w:pPr>
      <w:bookmarkStart w:id="0" w:name="_GoBack"/>
      <w:bookmarkEnd w:id="0"/>
      <w:r w:rsidRPr="0033669F">
        <w:rPr>
          <w:rFonts w:asciiTheme="majorHAnsi" w:hAnsiTheme="majorHAnsi" w:cstheme="majorHAnsi"/>
        </w:rPr>
        <w:t>APPENDIX 2 - Accessibility and access for disabled people</w:t>
      </w:r>
    </w:p>
    <w:p w14:paraId="189F4DC0" w14:textId="77777777" w:rsidR="00F860C0" w:rsidRPr="0033669F" w:rsidRDefault="0033669F">
      <w:pPr>
        <w:rPr>
          <w:rFonts w:asciiTheme="majorHAnsi" w:hAnsiTheme="majorHAnsi" w:cstheme="majorHAnsi"/>
        </w:rPr>
      </w:pPr>
      <w:r w:rsidRPr="0033669F">
        <w:rPr>
          <w:rFonts w:asciiTheme="majorHAnsi" w:hAnsiTheme="majorHAnsi" w:cstheme="majorHAnsi"/>
        </w:rPr>
        <w:t>The template provided states that a disabled access plan remains required and should be included as an appendix to the SEP. As no separate accessibility plan has been provided, this appendix sets out the implementation framework to be reviewed and developed during 2026-27.</w:t>
      </w:r>
      <w:r w:rsidRPr="0033669F">
        <w:rPr>
          <w:rFonts w:asciiTheme="majorHAnsi" w:hAnsiTheme="majorHAnsi" w:cstheme="majorHAnsi"/>
        </w:rPr>
      </w:r>
    </w:p>
    <w:tbl>
      <w:tblPr>
        <w:tblStyle w:val="TableGrid"/>
        <w:tblW w:w="0" w:type="auto"/>
        <w:jc w:val="center"/>
        <w:tblLook w:val="04A0" w:firstRow="1" w:lastRow="0" w:firstColumn="1" w:lastColumn="0" w:noHBand="0" w:noVBand="1"/>
      </w:tblPr>
      <w:tblGrid>
        <w:gridCol w:w="2518"/>
        <w:gridCol w:w="2518"/>
        <w:gridCol w:w="2517"/>
        <w:gridCol w:w="2517"/>
      </w:tblGrid>
      <w:tr w:rsidR="00F860C0" w:rsidRPr="0033669F" w14:paraId="609E9CC4" w14:textId="77777777">
        <w:trPr>
          <w:jc w:val="center"/>
        </w:trPr>
        <w:tc>
          <w:tcPr>
            <w:tcW w:w="2520" w:type="dxa"/>
            <w:shd w:val="clear" w:color="auto" w:fill="1F4E79"/>
            <w:tcMar>
              <w:top w:w="90" w:type="dxa"/>
              <w:left w:w="110" w:type="dxa"/>
              <w:bottom w:w="90" w:type="dxa"/>
              <w:right w:w="110" w:type="dxa"/>
            </w:tcMar>
            <w:vAlign w:val="center"/>
          </w:tcPr>
          <w:p w14:paraId="32766F8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Area</w:t>
            </w:r>
          </w:p>
        </w:tc>
        <w:tc>
          <w:tcPr>
            <w:tcW w:w="2520" w:type="dxa"/>
            <w:shd w:val="clear" w:color="auto" w:fill="1F4E79"/>
            <w:tcMar>
              <w:top w:w="90" w:type="dxa"/>
              <w:left w:w="110" w:type="dxa"/>
              <w:bottom w:w="90" w:type="dxa"/>
              <w:right w:w="110" w:type="dxa"/>
            </w:tcMar>
            <w:vAlign w:val="center"/>
          </w:tcPr>
          <w:p w14:paraId="04A17167"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Commitment</w:t>
            </w:r>
          </w:p>
        </w:tc>
        <w:tc>
          <w:tcPr>
            <w:tcW w:w="2520" w:type="dxa"/>
            <w:shd w:val="clear" w:color="auto" w:fill="1F4E79"/>
            <w:tcMar>
              <w:top w:w="90" w:type="dxa"/>
              <w:left w:w="110" w:type="dxa"/>
              <w:bottom w:w="90" w:type="dxa"/>
              <w:right w:w="110" w:type="dxa"/>
            </w:tcMar>
            <w:vAlign w:val="center"/>
          </w:tcPr>
          <w:p w14:paraId="40882A5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Evidence</w:t>
            </w:r>
          </w:p>
        </w:tc>
        <w:tc>
          <w:tcPr>
            <w:tcW w:w="2520" w:type="dxa"/>
            <w:shd w:val="clear" w:color="auto" w:fill="1F4E79"/>
            <w:tcMar>
              <w:top w:w="90" w:type="dxa"/>
              <w:left w:w="110" w:type="dxa"/>
              <w:bottom w:w="90" w:type="dxa"/>
              <w:right w:w="110" w:type="dxa"/>
            </w:tcMar>
            <w:vAlign w:val="center"/>
          </w:tcPr>
          <w:p w14:paraId="42CD7F6F"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b/>
                <w:color w:val="FFFFFF"/>
                <w:sz w:val="19"/>
              </w:rPr>
              <w:t>Review</w:t>
            </w:r>
          </w:p>
        </w:tc>
      </w:tr>
      <w:tr w:rsidR="00F860C0" w:rsidRPr="0033669F" w14:paraId="18DBC9E2" w14:textId="77777777">
        <w:trPr>
          <w:jc w:val="center"/>
        </w:trPr>
        <w:tc>
          <w:tcPr>
            <w:tcW w:w="2520" w:type="dxa"/>
            <w:tcMar>
              <w:top w:w="90" w:type="dxa"/>
              <w:left w:w="110" w:type="dxa"/>
              <w:bottom w:w="90" w:type="dxa"/>
              <w:right w:w="110" w:type="dxa"/>
            </w:tcMar>
            <w:vAlign w:val="center"/>
          </w:tcPr>
          <w:p w14:paraId="3FF0E412"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Curriculum</w:t>
            </w:r>
          </w:p>
        </w:tc>
        <w:tc>
          <w:tcPr>
            <w:tcW w:w="2520" w:type="dxa"/>
            <w:tcMar>
              <w:top w:w="90" w:type="dxa"/>
              <w:left w:w="110" w:type="dxa"/>
              <w:bottom w:w="90" w:type="dxa"/>
              <w:right w:w="110" w:type="dxa"/>
            </w:tcMar>
            <w:vAlign w:val="center"/>
          </w:tcPr>
          <w:p w14:paraId="176A4A5A"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Increase the ability of disabled pupils to participate fully in the curriculum and school activities.</w:t>
            </w:r>
          </w:p>
        </w:tc>
        <w:tc>
          <w:tcPr>
            <w:tcW w:w="2520" w:type="dxa"/>
            <w:tcMar>
              <w:top w:w="90" w:type="dxa"/>
              <w:left w:w="110" w:type="dxa"/>
              <w:bottom w:w="90" w:type="dxa"/>
              <w:right w:w="110" w:type="dxa"/>
            </w:tcMar>
            <w:vAlign w:val="center"/>
          </w:tcPr>
          <w:p w14:paraId="63B320E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Reasonable adjustments; planning; pupil voice</w:t>
            </w:r>
            <w:r w:rsidRPr="0033669F">
              <w:rPr>
                <w:rFonts w:asciiTheme="majorHAnsi" w:hAnsiTheme="majorHAnsi" w:cstheme="majorHAnsi"/>
                <w:sz w:val="19"/>
              </w:rPr>
            </w:r>
          </w:p>
        </w:tc>
        <w:tc>
          <w:tcPr>
            <w:tcW w:w="2520" w:type="dxa"/>
            <w:tcMar>
              <w:top w:w="90" w:type="dxa"/>
              <w:left w:w="110" w:type="dxa"/>
              <w:bottom w:w="90" w:type="dxa"/>
              <w:right w:w="110" w:type="dxa"/>
            </w:tcMar>
            <w:vAlign w:val="center"/>
          </w:tcPr>
          <w:p w14:paraId="6A033A2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Annually</w:t>
            </w:r>
          </w:p>
        </w:tc>
      </w:tr>
      <w:tr w:rsidR="00F860C0" w:rsidRPr="0033669F" w14:paraId="2F4C50DE" w14:textId="77777777">
        <w:trPr>
          <w:jc w:val="center"/>
        </w:trPr>
        <w:tc>
          <w:tcPr>
            <w:tcW w:w="2520" w:type="dxa"/>
            <w:tcMar>
              <w:top w:w="90" w:type="dxa"/>
              <w:left w:w="110" w:type="dxa"/>
              <w:bottom w:w="90" w:type="dxa"/>
              <w:right w:w="110" w:type="dxa"/>
            </w:tcMar>
            <w:vAlign w:val="center"/>
          </w:tcPr>
          <w:p w14:paraId="42DCAE6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Physical environment</w:t>
            </w:r>
          </w:p>
        </w:tc>
        <w:tc>
          <w:tcPr>
            <w:tcW w:w="2520" w:type="dxa"/>
            <w:tcMar>
              <w:top w:w="90" w:type="dxa"/>
              <w:left w:w="110" w:type="dxa"/>
              <w:bottom w:w="90" w:type="dxa"/>
              <w:right w:w="110" w:type="dxa"/>
            </w:tcMar>
            <w:vAlign w:val="center"/>
          </w:tcPr>
          <w:p w14:paraId="271B945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Identify physical barriers and plan reasonable and proportionate improvements.</w:t>
            </w:r>
          </w:p>
        </w:tc>
        <w:tc>
          <w:tcPr>
            <w:tcW w:w="2520" w:type="dxa"/>
            <w:tcMar>
              <w:top w:w="90" w:type="dxa"/>
              <w:left w:w="110" w:type="dxa"/>
              <w:bottom w:w="90" w:type="dxa"/>
              <w:right w:w="110" w:type="dxa"/>
            </w:tcMar>
            <w:vAlign w:val="center"/>
          </w:tcPr>
          <w:p w14:paraId="6815944E"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Accessibility audit; health and safety records</w:t>
            </w:r>
          </w:p>
        </w:tc>
        <w:tc>
          <w:tcPr>
            <w:tcW w:w="2520" w:type="dxa"/>
            <w:tcMar>
              <w:top w:w="90" w:type="dxa"/>
              <w:left w:w="110" w:type="dxa"/>
              <w:bottom w:w="90" w:type="dxa"/>
              <w:right w:w="110" w:type="dxa"/>
            </w:tcMar>
            <w:vAlign w:val="center"/>
          </w:tcPr>
          <w:p w14:paraId="1EE76CF9"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Annually / when the site changes</w:t>
            </w:r>
          </w:p>
        </w:tc>
      </w:tr>
      <w:tr w:rsidR="00F860C0" w:rsidRPr="0033669F" w14:paraId="33A579DD" w14:textId="77777777">
        <w:trPr>
          <w:jc w:val="center"/>
        </w:trPr>
        <w:tc>
          <w:tcPr>
            <w:tcW w:w="2520" w:type="dxa"/>
            <w:tcMar>
              <w:top w:w="90" w:type="dxa"/>
              <w:left w:w="110" w:type="dxa"/>
              <w:bottom w:w="90" w:type="dxa"/>
              <w:right w:w="110" w:type="dxa"/>
            </w:tcMar>
            <w:vAlign w:val="center"/>
          </w:tcPr>
          <w:p w14:paraId="1DC72845"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Information and communication</w:t>
            </w:r>
          </w:p>
        </w:tc>
        <w:tc>
          <w:tcPr>
            <w:tcW w:w="2520" w:type="dxa"/>
            <w:tcMar>
              <w:top w:w="90" w:type="dxa"/>
              <w:left w:w="110" w:type="dxa"/>
              <w:bottom w:w="90" w:type="dxa"/>
              <w:right w:w="110" w:type="dxa"/>
            </w:tcMar>
            <w:vAlign w:val="center"/>
          </w:tcPr>
          <w:p w14:paraId="7C60ADD0"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Improve the accessibility of information for disabled pupils and parents through appropriate formats and communication methods.</w:t>
            </w:r>
          </w:p>
        </w:tc>
        <w:tc>
          <w:tcPr>
            <w:tcW w:w="2520" w:type="dxa"/>
            <w:tcMar>
              <w:top w:w="90" w:type="dxa"/>
              <w:left w:w="110" w:type="dxa"/>
              <w:bottom w:w="90" w:type="dxa"/>
              <w:right w:w="110" w:type="dxa"/>
            </w:tcMar>
            <w:vAlign w:val="center"/>
          </w:tcPr>
          <w:p w14:paraId="23F90118"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Feedback; sampling of communications; requests for adjustments</w:t>
            </w:r>
          </w:p>
        </w:tc>
        <w:tc>
          <w:tcPr>
            <w:tcW w:w="2520" w:type="dxa"/>
            <w:tcMar>
              <w:top w:w="90" w:type="dxa"/>
              <w:left w:w="110" w:type="dxa"/>
              <w:bottom w:w="90" w:type="dxa"/>
              <w:right w:w="110" w:type="dxa"/>
            </w:tcMar>
            <w:vAlign w:val="center"/>
          </w:tcPr>
          <w:p w14:paraId="22ABCB5D" w14:textId="77777777" w:rsidR="00F860C0" w:rsidRPr="0033669F" w:rsidRDefault="0033669F">
            <w:pPr>
              <w:spacing w:before="40" w:after="60"/>
              <w:rPr>
                <w:rFonts w:asciiTheme="majorHAnsi" w:hAnsiTheme="majorHAnsi" w:cstheme="majorHAnsi"/>
              </w:rPr>
            </w:pPr>
            <w:r w:rsidRPr="0033669F">
              <w:rPr>
                <w:rFonts w:asciiTheme="majorHAnsi" w:hAnsiTheme="majorHAnsi" w:cstheme="majorHAnsi"/>
                <w:sz w:val="19"/>
              </w:rPr>
              <w:t>Annually</w:t>
            </w:r>
          </w:p>
        </w:tc>
      </w:tr>
    </w:tbl>
    <w:p w14:paraId="6E40ED46" w14:textId="77777777" w:rsidR="00F860C0" w:rsidRPr="0033669F" w:rsidRDefault="00F860C0">
      <w:pPr>
        <w:rPr>
          <w:rFonts w:asciiTheme="majorHAnsi" w:hAnsiTheme="majorHAnsi" w:cstheme="majorHAnsi"/>
        </w:rPr>
      </w:pPr>
    </w:p>
    <w:sectPr w:rsidR="00F860C0" w:rsidRPr="0033669F" w:rsidSect="00034616">
      <w:footerReference w:type="default" r:id="rId12"/>
      <w:headerReference w:type="default" r:id="rId15"/>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83AA70" w14:textId="77777777" w:rsidR="00000000" w:rsidRDefault="0033669F">
      <w:pPr>
        <w:spacing w:after="0" w:line="240" w:lineRule="auto"/>
      </w:pPr>
      <w:r>
        <w:separator/>
      </w:r>
    </w:p>
  </w:endnote>
  <w:endnote w:type="continuationSeparator" w:id="0">
    <w:p w14:paraId="0E5D2F00" w14:textId="77777777" w:rsidR="00000000" w:rsidRDefault="00336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A9603" w14:textId="77777777" w:rsidR="00F860C0" w:rsidRDefault="0033669F">
    <w:pPr>
      <w:pStyle w:val="Footer"/>
      <w:jc w:val="center"/>
    </w:pPr>
    <w:r>
      <w:rPr>
        <w:color w:val="787878"/>
        <w:sz w:val="16"/>
      </w:rPr>
      <w:t>Ysgol Gyfun Llangefni | Strategic Equality Plan 2026-2030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1723C" w14:textId="77777777" w:rsidR="00000000" w:rsidRDefault="0033669F">
      <w:pPr>
        <w:spacing w:after="0" w:line="240" w:lineRule="auto"/>
      </w:pPr>
      <w:r>
        <w:separator/>
      </w:r>
    </w:p>
  </w:footnote>
  <w:footnote w:type="continuationSeparator" w:id="0">
    <w:p w14:paraId="1E3313ED" w14:textId="77777777" w:rsidR="00000000" w:rsidRDefault="0033669F">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878D1"/>
    <w:rsid w:val="0029639D"/>
    <w:rsid w:val="00326F90"/>
    <w:rsid w:val="0033669F"/>
    <w:rsid w:val="00AA1D8D"/>
    <w:rsid w:val="00B47730"/>
    <w:rsid w:val="00CB0664"/>
    <w:rsid w:val="00F860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AA7FD2"/>
  <w14:defaultImageDpi w14:val="300"/>
  <w15:docId w15:val="{7013DDE4-8EDA-4A32-8ADE-1B4A4569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Id1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E008B91678354E9E09BB66B3500875" ma:contentTypeVersion="18" ma:contentTypeDescription="Create a new document." ma:contentTypeScope="" ma:versionID="635c30d570ef57a04c0e18d1522e2585">
  <xsd:schema xmlns:xsd="http://www.w3.org/2001/XMLSchema" xmlns:xs="http://www.w3.org/2001/XMLSchema" xmlns:p="http://schemas.microsoft.com/office/2006/metadata/properties" xmlns:ns3="a0d34200-a299-42c8-ba56-cdd2a2b0b6ab" xmlns:ns4="305b7f86-d4af-446e-ba4d-de20559d6651" targetNamespace="http://schemas.microsoft.com/office/2006/metadata/properties" ma:root="true" ma:fieldsID="fc1e082c3fcc8f21dd69269b325c51d8" ns3:_="" ns4:_="">
    <xsd:import namespace="a0d34200-a299-42c8-ba56-cdd2a2b0b6ab"/>
    <xsd:import namespace="305b7f86-d4af-446e-ba4d-de20559d665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ObjectDetectorVersion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34200-a299-42c8-ba56-cdd2a2b0b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5b7f86-d4af-446e-ba4d-de20559d66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0d34200-a299-42c8-ba56-cdd2a2b0b6a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DD26C-7C11-4C4F-B1C7-DF01652EF1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34200-a299-42c8-ba56-cdd2a2b0b6ab"/>
    <ds:schemaRef ds:uri="305b7f86-d4af-446e-ba4d-de20559d66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B4862-96AF-4609-9859-3FBF5910F017}">
  <ds:schemaRefs>
    <ds:schemaRef ds:uri="http://schemas.microsoft.com/sharepoint/v3/contenttype/forms"/>
  </ds:schemaRefs>
</ds:datastoreItem>
</file>

<file path=customXml/itemProps3.xml><?xml version="1.0" encoding="utf-8"?>
<ds:datastoreItem xmlns:ds="http://schemas.openxmlformats.org/officeDocument/2006/customXml" ds:itemID="{EE145B53-EFCC-4852-945C-C990F072195C}">
  <ds:schemaRefs>
    <ds:schemaRef ds:uri="http://purl.org/dc/elements/1.1/"/>
    <ds:schemaRef ds:uri="http://schemas.microsoft.com/office/2006/metadata/properties"/>
    <ds:schemaRef ds:uri="305b7f86-d4af-446e-ba4d-de20559d6651"/>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a0d34200-a299-42c8-ba56-cdd2a2b0b6ab"/>
    <ds:schemaRef ds:uri="http://www.w3.org/XML/1998/namespace"/>
    <ds:schemaRef ds:uri="http://purl.org/dc/dcmitype/"/>
  </ds:schemaRefs>
</ds:datastoreItem>
</file>

<file path=customXml/itemProps4.xml><?xml version="1.0" encoding="utf-8"?>
<ds:datastoreItem xmlns:ds="http://schemas.openxmlformats.org/officeDocument/2006/customXml" ds:itemID="{951F5484-8336-4473-B1AD-AE95947E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2820</Words>
  <Characters>16079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Ffion Wyn Gough</cp:lastModifiedBy>
  <cp:revision>3</cp:revision>
  <dcterms:created xsi:type="dcterms:W3CDTF">2026-09-29T17:47:00Z</dcterms:created>
  <dcterms:modified xsi:type="dcterms:W3CDTF">2026-09-29T17:48:00Z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0x0101005CE008B91678354E9E09BB66B3500875</vt:lpwstr>
  </property>
</Properties>
</file>